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120"/>
      </w:pPr>
      <w:r>
        <w:rPr>
          <w:b/>
          <w:bCs/>
          <w:caps/>
          <w:color w:val="2c4f7c"/>
          <w:spacing w:val="30"/>
          <w:sz w:val="22"/>
          <w:szCs w:val="22"/>
        </w:rPr>
        <w:t xml:space="preserve">COSHH Assessment</w:t>
      </w:r>
    </w:p>
    <w:p>
      <w:pPr>
        <w:spacing w:after="240" w:before="0"/>
      </w:pPr>
      <w:r>
        <w:rPr>
          <w:b/>
          <w:bCs/>
          <w:color w:val="1e3a5f"/>
          <w:sz w:val="40"/>
          <w:szCs w:val="40"/>
        </w:rPr>
        <w:t xml:space="preserve">Carplan All Seasons Screenwash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13"/>
        <w:gridCol w:w="6425"/>
      </w:tblGrid>
      <w:tr>
        <w:trPr>
          <w:tblHeader/>
        </w:trPr>
        <w:tc>
          <w:tcPr>
            <w:tcW w:type="dxa" w:w="9638"/>
            <w:gridSpan w:val="2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e3a5f" w:color="auto" w:val="clear"/>
            <w:tcMar>
              <w:top w:type="dxa" w:w="120"/>
              <w:left w:type="dxa" w:w="160"/>
              <w:bottom w:type="dxa" w:w="120"/>
              <w:right w:type="dxa" w:w="160"/>
            </w:tcMar>
            <w:vAlign w:val="top"/>
          </w:tcPr>
          <w:p>
            <w:r>
              <w:rPr>
                <w:b/>
                <w:bCs/>
                <w:caps/>
                <w:color w:val="FFFFFF"/>
                <w:spacing w:val="40"/>
                <w:sz w:val="22"/>
                <w:szCs w:val="22"/>
              </w:rPr>
              <w:t xml:space="preserve">Document Information</w:t>
            </w:r>
          </w:p>
        </w:tc>
      </w:tr>
      <w:tr>
        <w:tc>
          <w:tcPr>
            <w:tcW w:type="dxa" w:w="3213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b/>
                <w:bCs/>
                <w:color w:val="0f1f33"/>
                <w:sz w:val="20"/>
                <w:szCs w:val="20"/>
              </w:rPr>
              <w:t xml:space="preserve">Document Reference</w:t>
            </w:r>
          </w:p>
        </w:tc>
        <w:tc>
          <w:tcPr>
            <w:tcW w:type="dxa" w:w="6425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sz w:val="20"/>
                <w:szCs w:val="20"/>
              </w:rPr>
              <w:t xml:space="preserve">COSHH_03</w:t>
            </w:r>
          </w:p>
        </w:tc>
      </w:tr>
      <w:tr>
        <w:tc>
          <w:tcPr>
            <w:tcW w:type="dxa" w:w="3213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b/>
                <w:bCs/>
                <w:color w:val="0f1f33"/>
                <w:sz w:val="20"/>
                <w:szCs w:val="20"/>
              </w:rPr>
              <w:t xml:space="preserve">Issue Number</w:t>
            </w:r>
          </w:p>
        </w:tc>
        <w:tc>
          <w:tcPr>
            <w:tcW w:type="dxa" w:w="6425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sz w:val="20"/>
                <w:szCs w:val="20"/>
              </w:rPr>
              <w:t xml:space="preserve">2</w:t>
            </w:r>
          </w:p>
        </w:tc>
      </w:tr>
      <w:tr>
        <w:tc>
          <w:tcPr>
            <w:tcW w:type="dxa" w:w="3213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b/>
                <w:bCs/>
                <w:color w:val="0f1f33"/>
                <w:sz w:val="20"/>
                <w:szCs w:val="20"/>
              </w:rPr>
              <w:t xml:space="preserve">Issue Date</w:t>
            </w:r>
          </w:p>
        </w:tc>
        <w:tc>
          <w:tcPr>
            <w:tcW w:type="dxa" w:w="6425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sz w:val="20"/>
                <w:szCs w:val="20"/>
              </w:rPr>
              <w:t xml:space="preserve">1 June 2026</w:t>
            </w:r>
          </w:p>
        </w:tc>
      </w:tr>
      <w:tr>
        <w:tc>
          <w:tcPr>
            <w:tcW w:type="dxa" w:w="3213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b/>
                <w:bCs/>
                <w:color w:val="0f1f33"/>
                <w:sz w:val="20"/>
                <w:szCs w:val="20"/>
              </w:rPr>
              <w:t xml:space="preserve">Next Review</w:t>
            </w:r>
          </w:p>
        </w:tc>
        <w:tc>
          <w:tcPr>
            <w:tcW w:type="dxa" w:w="6425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sz w:val="20"/>
                <w:szCs w:val="20"/>
              </w:rPr>
              <w:t xml:space="preserve">1 June 2027</w:t>
            </w:r>
          </w:p>
        </w:tc>
      </w:tr>
      <w:tr>
        <w:tc>
          <w:tcPr>
            <w:tcW w:type="dxa" w:w="3213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b/>
                <w:bCs/>
                <w:color w:val="0f1f33"/>
                <w:sz w:val="20"/>
                <w:szCs w:val="20"/>
              </w:rPr>
              <w:t xml:space="preserve">Assessor</w:t>
            </w:r>
          </w:p>
        </w:tc>
        <w:tc>
          <w:tcPr>
            <w:tcW w:type="dxa" w:w="6425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sz w:val="20"/>
                <w:szCs w:val="20"/>
              </w:rPr>
              <w:t xml:space="preserve">Sean Ashton (Onyx Operations)</w:t>
            </w:r>
          </w:p>
        </w:tc>
      </w:tr>
      <w:tr>
        <w:tc>
          <w:tcPr>
            <w:tcW w:type="dxa" w:w="3213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b/>
                <w:bCs/>
                <w:color w:val="0f1f33"/>
                <w:sz w:val="20"/>
                <w:szCs w:val="20"/>
              </w:rPr>
              <w:t xml:space="preserve">Approved By</w:t>
            </w:r>
          </w:p>
        </w:tc>
        <w:tc>
          <w:tcPr>
            <w:tcW w:type="dxa" w:w="6425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sz w:val="20"/>
                <w:szCs w:val="20"/>
              </w:rPr>
              <w:t xml:space="preserve">Aaron Mason, Director</w:t>
            </w:r>
          </w:p>
        </w:tc>
      </w:tr>
    </w:tbl>
    <w:p>
      <w:pPr>
        <w:spacing w:after="0" w:before="200"/>
      </w:pPr>
      <w:r>
        <w:t xml:space="preserve"/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638"/>
      </w:tblGrid>
      <w:tr>
        <w:tc>
          <w:tcPr>
            <w:tcW w:type="dxa" w:w="9638"/>
            <w:tcBorders>
              <w:top w:val="single" w:color="6499c7" w:sz="4"/>
              <w:left w:val="single" w:color="1e3a5f" w:sz="12"/>
              <w:bottom w:val="single" w:color="6499c7" w:sz="4"/>
              <w:right w:val="single" w:color="6499c7" w:sz="4"/>
            </w:tcBorders>
            <w:shd w:fill="F2F2F2" w:color="auto" w:val="clear"/>
            <w:tcMar>
              <w:top w:type="dxa" w:w="140"/>
              <w:left w:type="dxa" w:w="200"/>
              <w:bottom w:type="dxa" w:w="140"/>
              <w:right w:type="dxa" w:w="200"/>
            </w:tcMar>
            <w:vAlign w:val="top"/>
          </w:tcPr>
          <w:p>
            <w:pPr>
              <w:spacing w:after="80" w:before="0"/>
            </w:pPr>
            <w:r>
              <w:rPr>
                <w:b/>
                <w:bCs/>
                <w:caps/>
                <w:color w:val="1e3a5f"/>
                <w:spacing w:val="30"/>
                <w:sz w:val="20"/>
                <w:szCs w:val="20"/>
              </w:rPr>
              <w:t xml:space="preserve">Key references</w:t>
            </w:r>
          </w:p>
          <w:p>
            <w:pPr>
              <w:spacing w:after="40" w:before="40"/>
            </w:pPr>
            <w:r>
              <w:rPr>
                <w:b/>
                <w:bCs/>
                <w:color w:val="1e3a5f"/>
                <w:sz w:val="22"/>
                <w:szCs w:val="22"/>
              </w:rPr>
              <w:t xml:space="preserve">▸  </w:t>
            </w:r>
            <w:r>
              <w:rPr>
                <w:b/>
                <w:bCs/>
                <w:color w:val="1e3a5f"/>
                <w:sz w:val="20"/>
                <w:szCs w:val="20"/>
              </w:rPr>
              <w:t xml:space="preserve">carplan-all-seasons-screenwash-5l~GPID_1000199998_COSHH_00.pdf</w:t>
            </w:r>
            <w:r>
              <w:rPr>
                <w:color w:val="595959"/>
                <w:sz w:val="20"/>
                <w:szCs w:val="20"/>
              </w:rPr>
              <w:t xml:space="preserve"> — Manufacturer Safety Data Sheet</w:t>
            </w:r>
          </w:p>
          <w:p>
            <w:pPr>
              <w:spacing w:after="40" w:before="40"/>
            </w:pPr>
            <w:r>
              <w:rPr>
                <w:b/>
                <w:bCs/>
                <w:color w:val="1e3a5f"/>
                <w:sz w:val="22"/>
                <w:szCs w:val="22"/>
              </w:rPr>
              <w:t xml:space="preserve">▸  </w:t>
            </w:r>
            <w:r>
              <w:rPr>
                <w:b/>
                <w:bCs/>
                <w:color w:val="1e3a5f"/>
                <w:sz w:val="20"/>
                <w:szCs w:val="20"/>
              </w:rPr>
              <w:t xml:space="preserve">Van Packs portal — COSHH section</w:t>
            </w:r>
            <w:r>
              <w:rPr>
                <w:color w:val="595959"/>
                <w:sz w:val="20"/>
                <w:szCs w:val="20"/>
              </w:rPr>
              <w:t xml:space="preserve"> — Synchronised copy carried by every operative</w:t>
            </w:r>
          </w:p>
        </w:tc>
      </w:tr>
    </w:tbl>
    <w:p>
      <w:pPr>
        <w:pBdr>
          <w:bottom w:val="single" w:color="6499c7" w:sz="8" w:space="4"/>
        </w:pBdr>
        <w:spacing w:after="120" w:before="360"/>
      </w:pPr>
      <w:r>
        <w:rPr>
          <w:b/>
          <w:bCs/>
          <w:color w:val="1e3a5f"/>
          <w:sz w:val="26"/>
          <w:szCs w:val="26"/>
        </w:rPr>
        <w:t xml:space="preserve">1. Product Identification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6838"/>
      </w:tblGrid>
      <w:tr>
        <w:tc>
          <w:tcPr>
            <w:tcW w:type="dxa" w:w="2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b/>
                <w:bCs/>
                <w:color w:val="0f1f33"/>
                <w:sz w:val="20"/>
                <w:szCs w:val="20"/>
              </w:rPr>
              <w:t xml:space="preserve">Product name</w:t>
            </w:r>
          </w:p>
        </w:tc>
        <w:tc>
          <w:tcPr>
            <w:tcW w:type="dxa" w:w="6838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i w:val="false"/>
                <w:iCs w:val="false"/>
                <w:sz w:val="20"/>
                <w:szCs w:val="20"/>
              </w:rPr>
              <w:t xml:space="preserve">Carplan All Seasons Screenwash</w:t>
            </w:r>
          </w:p>
        </w:tc>
      </w:tr>
      <w:tr>
        <w:tc>
          <w:tcPr>
            <w:tcW w:type="dxa" w:w="2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b/>
                <w:bCs/>
                <w:color w:val="0f1f33"/>
                <w:sz w:val="20"/>
                <w:szCs w:val="20"/>
              </w:rPr>
              <w:t xml:space="preserve">Supplier</w:t>
            </w:r>
          </w:p>
        </w:tc>
        <w:tc>
          <w:tcPr>
            <w:tcW w:type="dxa" w:w="6838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i w:val="false"/>
                <w:iCs w:val="false"/>
                <w:sz w:val="20"/>
                <w:szCs w:val="20"/>
              </w:rPr>
              <w:t xml:space="preserve">Tetrosyl Ltd (Carplan brand)</w:t>
            </w:r>
          </w:p>
        </w:tc>
      </w:tr>
      <w:tr>
        <w:tc>
          <w:tcPr>
            <w:tcW w:type="dxa" w:w="2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b/>
                <w:bCs/>
                <w:color w:val="0f1f33"/>
                <w:sz w:val="20"/>
                <w:szCs w:val="20"/>
              </w:rPr>
              <w:t xml:space="preserve">Active ingredients / CAS</w:t>
            </w:r>
          </w:p>
        </w:tc>
        <w:tc>
          <w:tcPr>
            <w:tcW w:type="dxa" w:w="6838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i w:val="false"/>
                <w:iCs w:val="false"/>
                <w:sz w:val="20"/>
                <w:szCs w:val="20"/>
              </w:rPr>
              <w:t xml:space="preserve">Isopropanol (propan-2-ol) + surfactants + dye — CAS: 67-63-0 (isopropanol)</w:t>
            </w:r>
          </w:p>
        </w:tc>
      </w:tr>
      <w:tr>
        <w:tc>
          <w:tcPr>
            <w:tcW w:type="dxa" w:w="2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b/>
                <w:bCs/>
                <w:color w:val="0f1f33"/>
                <w:sz w:val="20"/>
                <w:szCs w:val="20"/>
              </w:rPr>
              <w:t xml:space="preserve">Physical form</w:t>
            </w:r>
          </w:p>
        </w:tc>
        <w:tc>
          <w:tcPr>
            <w:tcW w:type="dxa" w:w="6838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i w:val="false"/>
                <w:iCs w:val="false"/>
                <w:sz w:val="20"/>
                <w:szCs w:val="20"/>
              </w:rPr>
              <w:t xml:space="preserve">Liquid</w:t>
            </w:r>
          </w:p>
        </w:tc>
      </w:tr>
      <w:tr>
        <w:tc>
          <w:tcPr>
            <w:tcW w:type="dxa" w:w="2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b/>
                <w:bCs/>
                <w:color w:val="0f1f33"/>
                <w:sz w:val="20"/>
                <w:szCs w:val="20"/>
              </w:rPr>
              <w:t xml:space="preserve">Appearance / odour</w:t>
            </w:r>
          </w:p>
        </w:tc>
        <w:tc>
          <w:tcPr>
            <w:tcW w:type="dxa" w:w="6838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i w:val="false"/>
                <w:iCs w:val="false"/>
                <w:sz w:val="20"/>
                <w:szCs w:val="20"/>
              </w:rPr>
              <w:t xml:space="preserve">Coloured liquid (typically blue/yellow)</w:t>
            </w:r>
          </w:p>
        </w:tc>
      </w:tr>
      <w:tr>
        <w:tc>
          <w:tcPr>
            <w:tcW w:type="dxa" w:w="2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b/>
                <w:bCs/>
                <w:color w:val="0f1f33"/>
                <w:sz w:val="20"/>
                <w:szCs w:val="20"/>
              </w:rPr>
              <w:t xml:space="preserve">Use</w:t>
            </w:r>
          </w:p>
        </w:tc>
        <w:tc>
          <w:tcPr>
            <w:tcW w:type="dxa" w:w="6838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i w:val="false"/>
                <w:iCs w:val="false"/>
                <w:sz w:val="20"/>
                <w:szCs w:val="20"/>
              </w:rPr>
              <w:t xml:space="preserve">Vehicle windscreen washer fluid — neat or diluted</w:t>
            </w:r>
          </w:p>
        </w:tc>
      </w:tr>
    </w:tbl>
    <w:p>
      <w:pPr>
        <w:pBdr>
          <w:bottom w:val="single" w:color="6499c7" w:sz="8" w:space="4"/>
        </w:pBdr>
        <w:spacing w:after="120" w:before="360"/>
      </w:pPr>
      <w:r>
        <w:rPr>
          <w:b/>
          <w:bCs/>
          <w:color w:val="1e3a5f"/>
          <w:sz w:val="26"/>
          <w:szCs w:val="26"/>
        </w:rPr>
        <w:t xml:space="preserve">2. Hazard Classification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638"/>
      </w:tblGrid>
      <w:tr>
        <w:tc>
          <w:tcPr>
            <w:tcW w:type="dxa" w:w="9638"/>
            <w:tcBorders>
              <w:top w:val="single" w:color="F0B900" w:sz="4"/>
              <w:left w:val="single" w:color="F0B900" w:sz="12"/>
              <w:bottom w:val="single" w:color="F0B900" w:sz="4"/>
              <w:right w:val="single" w:color="F0B900" w:sz="4"/>
            </w:tcBorders>
            <w:shd w:fill="FFF8E1" w:color="auto" w:val="clear"/>
            <w:tcMar>
              <w:top w:type="dxa" w:w="140"/>
              <w:left w:type="dxa" w:w="200"/>
              <w:bottom w:type="dxa" w:w="140"/>
              <w:right w:type="dxa" w:w="200"/>
            </w:tcMar>
            <w:vAlign w:val="top"/>
          </w:tcPr>
          <w:p>
            <w:pPr>
              <w:spacing w:after="40" w:before="40"/>
            </w:pPr>
            <w:r>
              <w:rPr>
                <w:b/>
                <w:bCs/>
                <w:color w:val="0f1f33"/>
                <w:sz w:val="20"/>
                <w:szCs w:val="20"/>
              </w:rPr>
              <w:t xml:space="preserve">Overall classification: </w:t>
            </w:r>
            <w:r>
              <w:rPr>
                <w:i w:val="false"/>
                <w:iCs w:val="false"/>
                <w:sz w:val="20"/>
                <w:szCs w:val="20"/>
              </w:rPr>
              <w:t xml:space="preserve">Flammable Liquid Category 3 (depending on concentration)</w:t>
            </w:r>
          </w:p>
          <w:p>
            <w:pPr>
              <w:spacing w:after="40" w:before="40"/>
            </w:pPr>
            <w:r>
              <w:rPr>
                <w:b/>
                <w:bCs/>
                <w:color w:val="0f1f33"/>
                <w:sz w:val="20"/>
                <w:szCs w:val="20"/>
              </w:rPr>
              <w:t xml:space="preserve">Signal word: </w:t>
            </w:r>
            <w:r>
              <w:rPr>
                <w:i w:val="false"/>
                <w:iCs w:val="false"/>
                <w:sz w:val="20"/>
                <w:szCs w:val="20"/>
              </w:rPr>
              <w:t xml:space="preserve">Warning</w:t>
            </w:r>
          </w:p>
          <w:p>
            <w:pPr>
              <w:spacing w:after="40" w:before="120"/>
            </w:pPr>
            <w:r>
              <w:rPr>
                <w:b/>
                <w:bCs/>
                <w:color w:val="1e3a5f"/>
                <w:sz w:val="20"/>
                <w:szCs w:val="20"/>
              </w:rPr>
              <w:t xml:space="preserve">Hazard statements (H-codes)</w:t>
            </w:r>
          </w:p>
          <w:p>
            <w:pPr>
              <w:spacing w:after="20" w:before="20"/>
              <w:ind w:left="400" w:hanging="400"/>
            </w:pPr>
            <w:r>
              <w:rPr>
                <w:b/>
                <w:bCs/>
                <w:color w:val="0f1f33"/>
                <w:sz w:val="18"/>
                <w:szCs w:val="18"/>
              </w:rPr>
              <w:t xml:space="preserve">H226  </w:t>
            </w:r>
            <w:r>
              <w:rPr>
                <w:i w:val="false"/>
                <w:iCs w:val="false"/>
                <w:sz w:val="18"/>
                <w:szCs w:val="18"/>
              </w:rPr>
              <w:t xml:space="preserve">Flammable liquid and vapour.</w:t>
            </w:r>
          </w:p>
          <w:p>
            <w:pPr>
              <w:spacing w:after="20" w:before="20"/>
              <w:ind w:left="400" w:hanging="400"/>
            </w:pPr>
            <w:r>
              <w:rPr>
                <w:b/>
                <w:bCs/>
                <w:color w:val="0f1f33"/>
                <w:sz w:val="18"/>
                <w:szCs w:val="18"/>
              </w:rPr>
              <w:t xml:space="preserve">H319  </w:t>
            </w:r>
            <w:r>
              <w:rPr>
                <w:i w:val="false"/>
                <w:iCs w:val="false"/>
                <w:sz w:val="18"/>
                <w:szCs w:val="18"/>
              </w:rPr>
              <w:t xml:space="preserve">Causes serious eye irritation.</w:t>
            </w:r>
          </w:p>
          <w:p>
            <w:pPr>
              <w:spacing w:after="20" w:before="20"/>
              <w:ind w:left="400" w:hanging="400"/>
            </w:pPr>
            <w:r>
              <w:rPr>
                <w:b/>
                <w:bCs/>
                <w:color w:val="0f1f33"/>
                <w:sz w:val="18"/>
                <w:szCs w:val="18"/>
              </w:rPr>
              <w:t xml:space="preserve">H336  </w:t>
            </w:r>
            <w:r>
              <w:rPr>
                <w:i w:val="false"/>
                <w:iCs w:val="false"/>
                <w:sz w:val="18"/>
                <w:szCs w:val="18"/>
              </w:rPr>
              <w:t xml:space="preserve">May cause drowsiness or dizziness.</w:t>
            </w:r>
          </w:p>
          <w:p>
            <w:pPr>
              <w:spacing w:after="40" w:before="120"/>
            </w:pPr>
            <w:r>
              <w:rPr>
                <w:b/>
                <w:bCs/>
                <w:color w:val="1e3a5f"/>
                <w:sz w:val="20"/>
                <w:szCs w:val="20"/>
              </w:rPr>
              <w:t xml:space="preserve">Precautionary statements (P-codes)</w:t>
            </w:r>
          </w:p>
          <w:p>
            <w:pPr>
              <w:spacing w:after="20" w:before="20"/>
              <w:ind w:left="500" w:hanging="500"/>
            </w:pPr>
            <w:r>
              <w:rPr>
                <w:b/>
                <w:bCs/>
                <w:color w:val="0f1f33"/>
                <w:sz w:val="18"/>
                <w:szCs w:val="18"/>
              </w:rPr>
              <w:t xml:space="preserve">P210  </w:t>
            </w:r>
            <w:r>
              <w:rPr>
                <w:i w:val="false"/>
                <w:iCs w:val="false"/>
                <w:sz w:val="18"/>
                <w:szCs w:val="18"/>
              </w:rPr>
              <w:t xml:space="preserve">Keep away from heat, hot surfaces, sparks, open flames and other ignition sources. No smoking.</w:t>
            </w:r>
          </w:p>
          <w:p>
            <w:pPr>
              <w:spacing w:after="20" w:before="20"/>
              <w:ind w:left="500" w:hanging="500"/>
            </w:pPr>
            <w:r>
              <w:rPr>
                <w:b/>
                <w:bCs/>
                <w:color w:val="0f1f33"/>
                <w:sz w:val="18"/>
                <w:szCs w:val="18"/>
              </w:rPr>
              <w:t xml:space="preserve">P233  </w:t>
            </w:r>
            <w:r>
              <w:rPr>
                <w:i w:val="false"/>
                <w:iCs w:val="false"/>
                <w:sz w:val="18"/>
                <w:szCs w:val="18"/>
              </w:rPr>
              <w:t xml:space="preserve">Keep container tightly closed.</w:t>
            </w:r>
          </w:p>
          <w:p>
            <w:pPr>
              <w:spacing w:after="20" w:before="20"/>
              <w:ind w:left="500" w:hanging="500"/>
            </w:pPr>
            <w:r>
              <w:rPr>
                <w:b/>
                <w:bCs/>
                <w:color w:val="0f1f33"/>
                <w:sz w:val="18"/>
                <w:szCs w:val="18"/>
              </w:rPr>
              <w:t xml:space="preserve">P280  </w:t>
            </w:r>
            <w:r>
              <w:rPr>
                <w:i w:val="false"/>
                <w:iCs w:val="false"/>
                <w:sz w:val="18"/>
                <w:szCs w:val="18"/>
              </w:rPr>
              <w:t xml:space="preserve">Wear protective gloves/protective clothing/eye protection/face protection.</w:t>
            </w:r>
          </w:p>
          <w:p>
            <w:pPr>
              <w:spacing w:after="20" w:before="20"/>
              <w:ind w:left="500" w:hanging="500"/>
            </w:pPr>
            <w:r>
              <w:rPr>
                <w:b/>
                <w:bCs/>
                <w:color w:val="0f1f33"/>
                <w:sz w:val="18"/>
                <w:szCs w:val="18"/>
              </w:rPr>
              <w:t xml:space="preserve">P305+351+338  </w:t>
            </w:r>
            <w:r>
              <w:rPr>
                <w:i w:val="false"/>
                <w:iCs w:val="false"/>
                <w:sz w:val="18"/>
                <w:szCs w:val="18"/>
              </w:rPr>
              <w:t xml:space="preserve">IF IN EYES: Rinse cautiously with water for several minutes. Remove contact lenses, if present and easy to do. Continue rinsing.</w:t>
            </w:r>
          </w:p>
          <w:p>
            <w:pPr>
              <w:spacing w:after="20" w:before="20"/>
              <w:ind w:left="500" w:hanging="500"/>
            </w:pPr>
            <w:r>
              <w:rPr>
                <w:b/>
                <w:bCs/>
                <w:color w:val="0f1f33"/>
                <w:sz w:val="18"/>
                <w:szCs w:val="18"/>
              </w:rPr>
              <w:t xml:space="preserve">P403+235  </w:t>
            </w:r>
            <w:r>
              <w:rPr>
                <w:i w:val="false"/>
                <w:iCs w:val="false"/>
                <w:sz w:val="18"/>
                <w:szCs w:val="18"/>
              </w:rPr>
              <w:t xml:space="preserve">Store in a well-ventilated place. Keep cool.</w:t>
            </w:r>
          </w:p>
          <w:p>
            <w:pPr>
              <w:spacing w:after="40" w:before="120"/>
            </w:pPr>
            <w:r>
              <w:rPr>
                <w:b/>
                <w:bCs/>
                <w:color w:val="1e3a5f"/>
                <w:sz w:val="20"/>
                <w:szCs w:val="20"/>
              </w:rPr>
              <w:t xml:space="preserve">GHS pictograms</w:t>
            </w:r>
          </w:p>
          <w:p>
            <w:pPr>
              <w:spacing w:after="20" w:before="20"/>
              <w:ind w:left="200" w:hanging="200"/>
            </w:pPr>
            <w:r>
              <w:rPr>
                <w:b/>
                <w:bCs/>
                <w:color w:val="2c4f7c"/>
                <w:sz w:val="18"/>
                <w:szCs w:val="18"/>
              </w:rPr>
              <w:t xml:space="preserve">•  </w:t>
            </w:r>
            <w:r>
              <w:rPr>
                <w:i w:val="false"/>
                <w:iCs w:val="false"/>
                <w:sz w:val="18"/>
                <w:szCs w:val="18"/>
              </w:rPr>
              <w:t xml:space="preserve">GHS02 — Flammable</w:t>
            </w:r>
          </w:p>
          <w:p>
            <w:pPr>
              <w:spacing w:after="20" w:before="20"/>
              <w:ind w:left="200" w:hanging="200"/>
            </w:pPr>
            <w:r>
              <w:rPr>
                <w:b/>
                <w:bCs/>
                <w:color w:val="2c4f7c"/>
                <w:sz w:val="18"/>
                <w:szCs w:val="18"/>
              </w:rPr>
              <w:t xml:space="preserve">•  </w:t>
            </w:r>
            <w:r>
              <w:rPr>
                <w:i w:val="false"/>
                <w:iCs w:val="false"/>
                <w:sz w:val="18"/>
                <w:szCs w:val="18"/>
              </w:rPr>
              <w:t xml:space="preserve">GHS07 — Harmful / irritant</w:t>
            </w:r>
          </w:p>
        </w:tc>
      </w:tr>
    </w:tbl>
    <w:p>
      <w:pPr>
        <w:pBdr>
          <w:bottom w:val="single" w:color="6499c7" w:sz="8" w:space="4"/>
        </w:pBdr>
        <w:spacing w:after="120" w:before="360"/>
      </w:pPr>
      <w:r>
        <w:rPr>
          <w:b/>
          <w:bCs/>
          <w:color w:val="1e3a5f"/>
          <w:sz w:val="26"/>
          <w:szCs w:val="26"/>
        </w:rPr>
        <w:t xml:space="preserve">3. Persons at Risk</w:t>
      </w:r>
    </w:p>
    <w:p>
      <w:pPr>
        <w:spacing w:after="40" w:before="40"/>
        <w:ind w:left="200" w:hanging="200"/>
      </w:pPr>
      <w:r>
        <w:rPr>
          <w:b/>
          <w:bCs/>
          <w:color w:val="2c4f7c"/>
          <w:sz w:val="20"/>
          <w:szCs w:val="20"/>
        </w:rPr>
        <w:t xml:space="preserve">•  </w:t>
      </w:r>
      <w:r>
        <w:rPr>
          <w:i w:val="false"/>
          <w:iCs w:val="false"/>
          <w:sz w:val="20"/>
          <w:szCs w:val="20"/>
        </w:rPr>
        <w:t xml:space="preserve">Drivers</w:t>
      </w:r>
    </w:p>
    <w:p>
      <w:pPr>
        <w:spacing w:after="40" w:before="40"/>
        <w:ind w:left="200" w:hanging="200"/>
      </w:pPr>
      <w:r>
        <w:rPr>
          <w:b/>
          <w:bCs/>
          <w:color w:val="2c4f7c"/>
          <w:sz w:val="20"/>
          <w:szCs w:val="20"/>
        </w:rPr>
        <w:t xml:space="preserve">•  </w:t>
      </w:r>
      <w:r>
        <w:rPr>
          <w:i w:val="false"/>
          <w:iCs w:val="false"/>
          <w:sz w:val="20"/>
          <w:szCs w:val="20"/>
        </w:rPr>
        <w:t xml:space="preserve">Vehicle maintenance staff</w:t>
      </w:r>
    </w:p>
    <w:p>
      <w:pPr>
        <w:pBdr>
          <w:bottom w:val="single" w:color="6499c7" w:sz="8" w:space="4"/>
        </w:pBdr>
        <w:spacing w:after="120" w:before="360"/>
      </w:pPr>
      <w:r>
        <w:rPr>
          <w:b/>
          <w:bCs/>
          <w:color w:val="1e3a5f"/>
          <w:sz w:val="26"/>
          <w:szCs w:val="26"/>
        </w:rPr>
        <w:t xml:space="preserve">4. Routes of Exposure</w:t>
      </w:r>
    </w:p>
    <w:p>
      <w:pPr>
        <w:spacing w:after="40" w:before="40"/>
        <w:ind w:left="200" w:hanging="200"/>
      </w:pPr>
      <w:r>
        <w:rPr>
          <w:b/>
          <w:bCs/>
          <w:color w:val="2c4f7c"/>
          <w:sz w:val="20"/>
          <w:szCs w:val="20"/>
        </w:rPr>
        <w:t xml:space="preserve">•  </w:t>
      </w:r>
      <w:r>
        <w:rPr>
          <w:i w:val="false"/>
          <w:iCs w:val="false"/>
          <w:sz w:val="20"/>
          <w:szCs w:val="20"/>
        </w:rPr>
        <w:t xml:space="preserve">Inhalation: Vapour may cause dizziness if concentrated</w:t>
      </w:r>
    </w:p>
    <w:p>
      <w:pPr>
        <w:spacing w:after="40" w:before="40"/>
        <w:ind w:left="200" w:hanging="200"/>
      </w:pPr>
      <w:r>
        <w:rPr>
          <w:b/>
          <w:bCs/>
          <w:color w:val="2c4f7c"/>
          <w:sz w:val="20"/>
          <w:szCs w:val="20"/>
        </w:rPr>
        <w:t xml:space="preserve">•  </w:t>
      </w:r>
      <w:r>
        <w:rPr>
          <w:i w:val="false"/>
          <w:iCs w:val="false"/>
          <w:sz w:val="20"/>
          <w:szCs w:val="20"/>
        </w:rPr>
        <w:t xml:space="preserve">Skin contact: Defats skin on repeated contact</w:t>
      </w:r>
    </w:p>
    <w:p>
      <w:pPr>
        <w:spacing w:after="40" w:before="40"/>
        <w:ind w:left="200" w:hanging="200"/>
      </w:pPr>
      <w:r>
        <w:rPr>
          <w:b/>
          <w:bCs/>
          <w:color w:val="2c4f7c"/>
          <w:sz w:val="20"/>
          <w:szCs w:val="20"/>
        </w:rPr>
        <w:t xml:space="preserve">•  </w:t>
      </w:r>
      <w:r>
        <w:rPr>
          <w:i w:val="false"/>
          <w:iCs w:val="false"/>
          <w:sz w:val="20"/>
          <w:szCs w:val="20"/>
        </w:rPr>
        <w:t xml:space="preserve">Eye contact: Causes irritation</w:t>
      </w:r>
    </w:p>
    <w:p>
      <w:pPr>
        <w:spacing w:after="40" w:before="40"/>
        <w:ind w:left="200" w:hanging="200"/>
      </w:pPr>
      <w:r>
        <w:rPr>
          <w:b/>
          <w:bCs/>
          <w:color w:val="2c4f7c"/>
          <w:sz w:val="20"/>
          <w:szCs w:val="20"/>
        </w:rPr>
        <w:t xml:space="preserve">•  </w:t>
      </w:r>
      <w:r>
        <w:rPr>
          <w:i w:val="false"/>
          <w:iCs w:val="false"/>
          <w:sz w:val="20"/>
          <w:szCs w:val="20"/>
        </w:rPr>
        <w:t xml:space="preserve">Ingestion: Harmful — do not swallow</w:t>
      </w:r>
    </w:p>
    <w:p>
      <w:pPr>
        <w:pBdr>
          <w:bottom w:val="single" w:color="6499c7" w:sz="8" w:space="4"/>
        </w:pBdr>
        <w:spacing w:after="120" w:before="360"/>
      </w:pPr>
      <w:r>
        <w:rPr>
          <w:b/>
          <w:bCs/>
          <w:color w:val="1e3a5f"/>
          <w:sz w:val="26"/>
          <w:szCs w:val="26"/>
        </w:rPr>
        <w:t xml:space="preserve">5. Workplace Exposure Limits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12"/>
        <w:gridCol w:w="3212"/>
        <w:gridCol w:w="3212"/>
      </w:tblGrid>
      <w:tr>
        <w:trPr>
          <w:tblHeader/>
        </w:trPr>
        <w:tc>
          <w:tcPr>
            <w:tcW w:type="dxa" w:w="3212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e3a5f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Substance</w:t>
            </w:r>
          </w:p>
        </w:tc>
        <w:tc>
          <w:tcPr>
            <w:tcW w:type="dxa" w:w="3212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e3a5f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8-hr TWA</w:t>
            </w:r>
          </w:p>
        </w:tc>
        <w:tc>
          <w:tcPr>
            <w:tcW w:type="dxa" w:w="3212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e3a5f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15-min STEL</w:t>
            </w:r>
          </w:p>
        </w:tc>
      </w:tr>
      <w:tr>
        <w:tc>
          <w:tcPr>
            <w:tcW w:type="dxa" w:w="3212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i w:val="false"/>
                <w:iCs w:val="false"/>
                <w:sz w:val="20"/>
                <w:szCs w:val="20"/>
              </w:rPr>
              <w:t xml:space="preserve">Propan-2-ol</w:t>
            </w:r>
          </w:p>
        </w:tc>
        <w:tc>
          <w:tcPr>
            <w:tcW w:type="dxa" w:w="3212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i w:val="false"/>
                <w:iCs w:val="false"/>
                <w:sz w:val="20"/>
                <w:szCs w:val="20"/>
              </w:rPr>
              <w:t xml:space="preserve">999 mg/m³ (400 ppm)</w:t>
            </w:r>
          </w:p>
        </w:tc>
        <w:tc>
          <w:tcPr>
            <w:tcW w:type="dxa" w:w="3212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i w:val="false"/>
                <w:iCs w:val="false"/>
                <w:sz w:val="20"/>
                <w:szCs w:val="20"/>
              </w:rPr>
              <w:t xml:space="preserve">1250 mg/m³ (500 ppm)</w:t>
            </w:r>
          </w:p>
        </w:tc>
      </w:tr>
    </w:tbl>
    <w:p>
      <w:pPr>
        <w:pBdr>
          <w:bottom w:val="single" w:color="6499c7" w:sz="8" w:space="4"/>
        </w:pBdr>
        <w:spacing w:after="120" w:before="360"/>
      </w:pPr>
      <w:r>
        <w:rPr>
          <w:b/>
          <w:bCs/>
          <w:color w:val="1e3a5f"/>
          <w:sz w:val="26"/>
          <w:szCs w:val="26"/>
        </w:rPr>
        <w:t xml:space="preserve">6. Control Measures — Hierarchy of Controls</w:t>
      </w:r>
    </w:p>
    <w:p>
      <w:pPr>
        <w:spacing w:after="80" w:before="200"/>
      </w:pPr>
      <w:r>
        <w:rPr>
          <w:b/>
          <w:bCs/>
          <w:color w:val="2c4f7c"/>
          <w:sz w:val="22"/>
          <w:szCs w:val="22"/>
        </w:rPr>
        <w:t xml:space="preserve">Elimination / substitution</w:t>
      </w:r>
    </w:p>
    <w:p>
      <w:pPr>
        <w:spacing w:after="40" w:before="40"/>
      </w:pPr>
      <w:r>
        <w:rPr>
          <w:sz w:val="20"/>
          <w:szCs w:val="20"/>
        </w:rPr>
        <w:t xml:space="preserve">Evaluated where practicable — see Section 12.</w:t>
      </w:r>
    </w:p>
    <w:p>
      <w:pPr>
        <w:spacing w:after="80" w:before="200"/>
      </w:pPr>
      <w:r>
        <w:rPr>
          <w:b/>
          <w:bCs/>
          <w:color w:val="2c4f7c"/>
          <w:sz w:val="22"/>
          <w:szCs w:val="22"/>
        </w:rPr>
        <w:t xml:space="preserve">Engineering controls</w:t>
      </w:r>
    </w:p>
    <w:p>
      <w:pPr>
        <w:spacing w:after="40" w:before="40"/>
        <w:ind w:left="200" w:hanging="200"/>
      </w:pPr>
      <w:r>
        <w:rPr>
          <w:b/>
          <w:bCs/>
          <w:color w:val="2c4f7c"/>
          <w:sz w:val="20"/>
          <w:szCs w:val="20"/>
        </w:rPr>
        <w:t xml:space="preserve">•  </w:t>
      </w:r>
      <w:r>
        <w:rPr>
          <w:i w:val="false"/>
          <w:iCs w:val="false"/>
          <w:sz w:val="20"/>
          <w:szCs w:val="20"/>
        </w:rPr>
        <w:t xml:space="preserve">Keep container sealed when not in use</w:t>
      </w:r>
    </w:p>
    <w:p>
      <w:pPr>
        <w:spacing w:after="80" w:before="200"/>
      </w:pPr>
      <w:r>
        <w:rPr>
          <w:b/>
          <w:bCs/>
          <w:color w:val="2c4f7c"/>
          <w:sz w:val="22"/>
          <w:szCs w:val="22"/>
        </w:rPr>
        <w:t xml:space="preserve">Administrative controls</w:t>
      </w:r>
    </w:p>
    <w:p>
      <w:pPr>
        <w:spacing w:after="40" w:before="40"/>
        <w:ind w:left="200" w:hanging="200"/>
      </w:pPr>
      <w:r>
        <w:rPr>
          <w:b/>
          <w:bCs/>
          <w:color w:val="2c4f7c"/>
          <w:sz w:val="20"/>
          <w:szCs w:val="20"/>
        </w:rPr>
        <w:t xml:space="preserve">•  </w:t>
      </w:r>
      <w:r>
        <w:rPr>
          <w:i w:val="false"/>
          <w:iCs w:val="false"/>
          <w:sz w:val="20"/>
          <w:szCs w:val="20"/>
        </w:rPr>
        <w:t xml:space="preserve">No smoking during filling</w:t>
      </w:r>
    </w:p>
    <w:p>
      <w:pPr>
        <w:spacing w:after="40" w:before="40"/>
        <w:ind w:left="200" w:hanging="200"/>
      </w:pPr>
      <w:r>
        <w:rPr>
          <w:b/>
          <w:bCs/>
          <w:color w:val="2c4f7c"/>
          <w:sz w:val="20"/>
          <w:szCs w:val="20"/>
        </w:rPr>
        <w:t xml:space="preserve">•  </w:t>
      </w:r>
      <w:r>
        <w:rPr>
          <w:i w:val="false"/>
          <w:iCs w:val="false"/>
          <w:sz w:val="20"/>
          <w:szCs w:val="20"/>
        </w:rPr>
        <w:t xml:space="preserve">Use only intended dispensers</w:t>
      </w:r>
    </w:p>
    <w:p>
      <w:pPr>
        <w:spacing w:after="80" w:before="200"/>
      </w:pPr>
      <w:r>
        <w:rPr>
          <w:b/>
          <w:bCs/>
          <w:color w:val="2c4f7c"/>
          <w:sz w:val="22"/>
          <w:szCs w:val="22"/>
        </w:rPr>
        <w:t xml:space="preserve">Personal Protective Equipment (PPE)</w:t>
      </w:r>
    </w:p>
    <w:p>
      <w:pPr>
        <w:spacing w:after="40" w:before="40"/>
        <w:ind w:left="200" w:hanging="200"/>
      </w:pPr>
      <w:r>
        <w:rPr>
          <w:b/>
          <w:bCs/>
          <w:color w:val="2c4f7c"/>
          <w:sz w:val="20"/>
          <w:szCs w:val="20"/>
        </w:rPr>
        <w:t xml:space="preserve">•  </w:t>
      </w:r>
      <w:r>
        <w:rPr>
          <w:i w:val="false"/>
          <w:iCs w:val="false"/>
          <w:sz w:val="20"/>
          <w:szCs w:val="20"/>
        </w:rPr>
        <w:t xml:space="preserve">Nitrile gloves when handling concentrate</w:t>
      </w:r>
    </w:p>
    <w:p>
      <w:pPr>
        <w:spacing w:after="40" w:before="40"/>
        <w:ind w:left="200" w:hanging="200"/>
      </w:pPr>
      <w:r>
        <w:rPr>
          <w:b/>
          <w:bCs/>
          <w:color w:val="2c4f7c"/>
          <w:sz w:val="20"/>
          <w:szCs w:val="20"/>
        </w:rPr>
        <w:t xml:space="preserve">•  </w:t>
      </w:r>
      <w:r>
        <w:rPr>
          <w:i w:val="false"/>
          <w:iCs w:val="false"/>
          <w:sz w:val="20"/>
          <w:szCs w:val="20"/>
        </w:rPr>
        <w:t xml:space="preserve">Safety glasses</w:t>
      </w:r>
    </w:p>
    <w:p>
      <w:pPr>
        <w:pBdr>
          <w:bottom w:val="single" w:color="6499c7" w:sz="8" w:space="4"/>
        </w:pBdr>
        <w:spacing w:after="120" w:before="360"/>
      </w:pPr>
      <w:r>
        <w:rPr>
          <w:b/>
          <w:bCs/>
          <w:color w:val="1e3a5f"/>
          <w:sz w:val="26"/>
          <w:szCs w:val="26"/>
        </w:rPr>
        <w:t xml:space="preserve">7. Storage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6838"/>
      </w:tblGrid>
      <w:tr>
        <w:tc>
          <w:tcPr>
            <w:tcW w:type="dxa" w:w="2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b/>
                <w:bCs/>
                <w:color w:val="0f1f33"/>
                <w:sz w:val="20"/>
                <w:szCs w:val="20"/>
              </w:rPr>
              <w:t xml:space="preserve">Temperature</w:t>
            </w:r>
          </w:p>
        </w:tc>
        <w:tc>
          <w:tcPr>
            <w:tcW w:type="dxa" w:w="6838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i w:val="false"/>
                <w:iCs w:val="false"/>
                <w:sz w:val="20"/>
                <w:szCs w:val="20"/>
              </w:rPr>
              <w:t xml:space="preserve">Cool store</w:t>
            </w:r>
          </w:p>
        </w:tc>
      </w:tr>
      <w:tr>
        <w:tc>
          <w:tcPr>
            <w:tcW w:type="dxa" w:w="2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b/>
                <w:bCs/>
                <w:color w:val="0f1f33"/>
                <w:sz w:val="20"/>
                <w:szCs w:val="20"/>
              </w:rPr>
              <w:t xml:space="preserve">Location</w:t>
            </w:r>
          </w:p>
        </w:tc>
        <w:tc>
          <w:tcPr>
            <w:tcW w:type="dxa" w:w="6838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i w:val="false"/>
                <w:iCs w:val="false"/>
                <w:sz w:val="20"/>
                <w:szCs w:val="20"/>
              </w:rPr>
              <w:t xml:space="preserve">Fire-resistant store or lockable cabinet</w:t>
            </w:r>
          </w:p>
        </w:tc>
      </w:tr>
      <w:tr>
        <w:tc>
          <w:tcPr>
            <w:tcW w:type="dxa" w:w="2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b/>
                <w:bCs/>
                <w:color w:val="0f1f33"/>
                <w:sz w:val="20"/>
                <w:szCs w:val="20"/>
              </w:rPr>
              <w:t xml:space="preserve">Avoid</w:t>
            </w:r>
          </w:p>
        </w:tc>
        <w:tc>
          <w:tcPr>
            <w:tcW w:type="dxa" w:w="6838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i w:val="false"/>
                <w:iCs w:val="false"/>
                <w:sz w:val="20"/>
                <w:szCs w:val="20"/>
              </w:rPr>
              <w:t xml:space="preserve">Heat, sparks, open flames</w:t>
            </w:r>
          </w:p>
        </w:tc>
      </w:tr>
      <w:tr>
        <w:tc>
          <w:tcPr>
            <w:tcW w:type="dxa" w:w="2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b/>
                <w:bCs/>
                <w:color w:val="0f1f33"/>
                <w:sz w:val="20"/>
                <w:szCs w:val="20"/>
              </w:rPr>
              <w:t xml:space="preserve">Container</w:t>
            </w:r>
          </w:p>
        </w:tc>
        <w:tc>
          <w:tcPr>
            <w:tcW w:type="dxa" w:w="6838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i w:val="false"/>
                <w:iCs w:val="false"/>
                <w:sz w:val="20"/>
                <w:szCs w:val="20"/>
              </w:rPr>
              <w:t xml:space="preserve">Original sealed container</w:t>
            </w:r>
          </w:p>
        </w:tc>
      </w:tr>
    </w:tbl>
    <w:p>
      <w:pPr>
        <w:pBdr>
          <w:bottom w:val="single" w:color="6499c7" w:sz="8" w:space="4"/>
        </w:pBdr>
        <w:spacing w:after="120" w:before="360"/>
      </w:pPr>
      <w:r>
        <w:rPr>
          <w:b/>
          <w:bCs/>
          <w:color w:val="1e3a5f"/>
          <w:sz w:val="26"/>
          <w:szCs w:val="26"/>
        </w:rPr>
        <w:t xml:space="preserve">8. Emergency Procedures</w:t>
      </w:r>
    </w:p>
    <w:p>
      <w:pPr>
        <w:spacing w:after="80" w:before="200"/>
      </w:pPr>
      <w:r>
        <w:rPr>
          <w:b/>
          <w:bCs/>
          <w:color w:val="2c4f7c"/>
          <w:sz w:val="22"/>
          <w:szCs w:val="22"/>
        </w:rPr>
        <w:t xml:space="preserve">First aid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7438"/>
      </w:tblGrid>
      <w:tr>
        <w:trPr>
          <w:tblHeader/>
        </w:trPr>
        <w:tc>
          <w:tcPr>
            <w:tcW w:type="dxa" w:w="2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e3a5f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Route</w:t>
            </w:r>
          </w:p>
        </w:tc>
        <w:tc>
          <w:tcPr>
            <w:tcW w:type="dxa" w:w="7438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e3a5f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Action</w:t>
            </w:r>
          </w:p>
        </w:tc>
      </w:tr>
      <w:tr>
        <w:tc>
          <w:tcPr>
            <w:tcW w:type="dxa" w:w="2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b/>
                <w:bCs/>
                <w:color w:val="0f1f33"/>
                <w:sz w:val="20"/>
                <w:szCs w:val="20"/>
              </w:rPr>
              <w:t xml:space="preserve">Eyes</w:t>
            </w:r>
          </w:p>
        </w:tc>
        <w:tc>
          <w:tcPr>
            <w:tcW w:type="dxa" w:w="7438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i w:val="false"/>
                <w:iCs w:val="false"/>
                <w:sz w:val="20"/>
                <w:szCs w:val="20"/>
              </w:rPr>
              <w:t xml:space="preserve">Rinse with water for 15 minutes. Seek medical advice.</w:t>
            </w:r>
          </w:p>
        </w:tc>
      </w:tr>
      <w:tr>
        <w:tc>
          <w:tcPr>
            <w:tcW w:type="dxa" w:w="2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b/>
                <w:bCs/>
                <w:color w:val="0f1f33"/>
                <w:sz w:val="20"/>
                <w:szCs w:val="20"/>
              </w:rPr>
              <w:t xml:space="preserve">Skin</w:t>
            </w:r>
          </w:p>
        </w:tc>
        <w:tc>
          <w:tcPr>
            <w:tcW w:type="dxa" w:w="7438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i w:val="false"/>
                <w:iCs w:val="false"/>
                <w:sz w:val="20"/>
                <w:szCs w:val="20"/>
              </w:rPr>
              <w:t xml:space="preserve">Wash with soap and water. Remove contaminated clothing.</w:t>
            </w:r>
          </w:p>
        </w:tc>
      </w:tr>
      <w:tr>
        <w:tc>
          <w:tcPr>
            <w:tcW w:type="dxa" w:w="2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b/>
                <w:bCs/>
                <w:color w:val="0f1f33"/>
                <w:sz w:val="20"/>
                <w:szCs w:val="20"/>
              </w:rPr>
              <w:t xml:space="preserve">Inhalation</w:t>
            </w:r>
          </w:p>
        </w:tc>
        <w:tc>
          <w:tcPr>
            <w:tcW w:type="dxa" w:w="7438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i w:val="false"/>
                <w:iCs w:val="false"/>
                <w:sz w:val="20"/>
                <w:szCs w:val="20"/>
              </w:rPr>
              <w:t xml:space="preserve">Move to fresh air. Seek medical advice if symptoms persist.</w:t>
            </w:r>
          </w:p>
        </w:tc>
      </w:tr>
      <w:tr>
        <w:tc>
          <w:tcPr>
            <w:tcW w:type="dxa" w:w="2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b/>
                <w:bCs/>
                <w:color w:val="0f1f33"/>
                <w:sz w:val="20"/>
                <w:szCs w:val="20"/>
              </w:rPr>
              <w:t xml:space="preserve">Ingestion</w:t>
            </w:r>
          </w:p>
        </w:tc>
        <w:tc>
          <w:tcPr>
            <w:tcW w:type="dxa" w:w="7438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i w:val="false"/>
                <w:iCs w:val="false"/>
                <w:sz w:val="20"/>
                <w:szCs w:val="20"/>
              </w:rPr>
              <w:t xml:space="preserve">Rinse mouth. Do not induce vomiting. Seek medical advice immediately.</w:t>
            </w:r>
          </w:p>
        </w:tc>
      </w:tr>
    </w:tbl>
    <w:p>
      <w:pPr>
        <w:spacing w:after="80" w:before="200"/>
      </w:pPr>
      <w:r>
        <w:rPr>
          <w:b/>
          <w:bCs/>
          <w:color w:val="2c4f7c"/>
          <w:sz w:val="22"/>
          <w:szCs w:val="22"/>
        </w:rPr>
        <w:t xml:space="preserve">Spillage</w:t>
      </w:r>
    </w:p>
    <w:p>
      <w:pPr>
        <w:spacing w:after="40" w:before="40"/>
      </w:pPr>
      <w:r>
        <w:rPr>
          <w:i w:val="false"/>
          <w:iCs w:val="false"/>
          <w:sz w:val="20"/>
          <w:szCs w:val="20"/>
        </w:rPr>
        <w:t xml:space="preserve">Eliminate ignition sources. Absorb with sand/vermiculite. Dispose as hazardous waste.</w:t>
      </w:r>
    </w:p>
    <w:p>
      <w:pPr>
        <w:spacing w:after="80" w:before="200"/>
      </w:pPr>
      <w:r>
        <w:rPr>
          <w:b/>
          <w:bCs/>
          <w:color w:val="2c4f7c"/>
          <w:sz w:val="22"/>
          <w:szCs w:val="22"/>
        </w:rPr>
        <w:t xml:space="preserve">Fire</w:t>
      </w:r>
    </w:p>
    <w:p>
      <w:pPr>
        <w:spacing w:after="40" w:before="40"/>
      </w:pPr>
      <w:r>
        <w:rPr>
          <w:i w:val="false"/>
          <w:iCs w:val="false"/>
          <w:sz w:val="20"/>
          <w:szCs w:val="20"/>
        </w:rPr>
        <w:t xml:space="preserve">Flammable. Use foam, CO₂ or dry powder. Do not use water jet.</w:t>
      </w:r>
    </w:p>
    <w:p>
      <w:pPr>
        <w:spacing w:after="80" w:before="200"/>
      </w:pPr>
      <w:r>
        <w:rPr>
          <w:b/>
          <w:bCs/>
          <w:color w:val="2c4f7c"/>
          <w:sz w:val="22"/>
          <w:szCs w:val="22"/>
        </w:rPr>
        <w:t xml:space="preserve">Emergency contacts</w:t>
      </w:r>
    </w:p>
    <w:p>
      <w:pPr>
        <w:spacing w:after="40" w:before="40"/>
        <w:ind w:left="200" w:hanging="200"/>
      </w:pPr>
      <w:r>
        <w:rPr>
          <w:b/>
          <w:bCs/>
          <w:color w:val="2c4f7c"/>
          <w:sz w:val="20"/>
          <w:szCs w:val="20"/>
        </w:rPr>
        <w:t xml:space="preserve">•  </w:t>
      </w:r>
      <w:r>
        <w:rPr>
          <w:i w:val="false"/>
          <w:iCs w:val="false"/>
          <w:sz w:val="20"/>
          <w:szCs w:val="20"/>
        </w:rPr>
        <w:t xml:space="preserve">Emergency services: 999</w:t>
      </w:r>
    </w:p>
    <w:p>
      <w:pPr>
        <w:spacing w:after="40" w:before="40"/>
        <w:ind w:left="200" w:hanging="200"/>
      </w:pPr>
      <w:r>
        <w:rPr>
          <w:b/>
          <w:bCs/>
          <w:color w:val="2c4f7c"/>
          <w:sz w:val="20"/>
          <w:szCs w:val="20"/>
        </w:rPr>
        <w:t xml:space="preserve">•  </w:t>
      </w:r>
      <w:r>
        <w:rPr>
          <w:i w:val="false"/>
          <w:iCs w:val="false"/>
          <w:sz w:val="20"/>
          <w:szCs w:val="20"/>
        </w:rPr>
        <w:t xml:space="preserve">NHS non-emergency: 111</w:t>
      </w:r>
    </w:p>
    <w:p>
      <w:pPr>
        <w:spacing w:after="40" w:before="40"/>
        <w:ind w:left="200" w:hanging="200"/>
      </w:pPr>
      <w:r>
        <w:rPr>
          <w:b/>
          <w:bCs/>
          <w:color w:val="2c4f7c"/>
          <w:sz w:val="20"/>
          <w:szCs w:val="20"/>
        </w:rPr>
        <w:t xml:space="preserve">•  </w:t>
      </w:r>
      <w:r>
        <w:rPr>
          <w:i w:val="false"/>
          <w:iCs w:val="false"/>
          <w:sz w:val="20"/>
          <w:szCs w:val="20"/>
        </w:rPr>
        <w:t xml:space="preserve">AMWS supervisor: Jason May</w:t>
      </w:r>
    </w:p>
    <w:p>
      <w:pPr>
        <w:spacing w:after="40" w:before="40"/>
        <w:ind w:left="200" w:hanging="200"/>
      </w:pPr>
      <w:r>
        <w:rPr>
          <w:b/>
          <w:bCs/>
          <w:color w:val="2c4f7c"/>
          <w:sz w:val="20"/>
          <w:szCs w:val="20"/>
        </w:rPr>
        <w:t xml:space="preserve">•  </w:t>
      </w:r>
      <w:r>
        <w:rPr>
          <w:i w:val="false"/>
          <w:iCs w:val="false"/>
          <w:sz w:val="20"/>
          <w:szCs w:val="20"/>
        </w:rPr>
        <w:t xml:space="preserve">HSQE support: Sean Ashton (Onyx Operations)</w:t>
      </w:r>
    </w:p>
    <w:p>
      <w:pPr>
        <w:pBdr>
          <w:bottom w:val="single" w:color="6499c7" w:sz="8" w:space="4"/>
        </w:pBdr>
        <w:spacing w:after="120" w:before="360"/>
      </w:pPr>
      <w:r>
        <w:rPr>
          <w:b/>
          <w:bCs/>
          <w:color w:val="1e3a5f"/>
          <w:sz w:val="26"/>
          <w:szCs w:val="26"/>
        </w:rPr>
        <w:t xml:space="preserve">9. Waste Disposal</w:t>
      </w:r>
    </w:p>
    <w:p>
      <w:pPr>
        <w:spacing w:after="40" w:before="40"/>
      </w:pPr>
      <w:r>
        <w:rPr>
          <w:i w:val="false"/>
          <w:iCs w:val="false"/>
          <w:sz w:val="20"/>
          <w:szCs w:val="20"/>
        </w:rPr>
        <w:t xml:space="preserve">Hazardous waste — dispose via authorised waste contractor.</w:t>
      </w:r>
    </w:p>
    <w:p>
      <w:pPr>
        <w:pBdr>
          <w:bottom w:val="single" w:color="6499c7" w:sz="8" w:space="4"/>
        </w:pBdr>
        <w:spacing w:after="120" w:before="360"/>
      </w:pPr>
      <w:r>
        <w:rPr>
          <w:b/>
          <w:bCs/>
          <w:color w:val="1e3a5f"/>
          <w:sz w:val="26"/>
          <w:szCs w:val="26"/>
        </w:rPr>
        <w:t xml:space="preserve">10. Risk Rating</w:t>
      </w:r>
    </w:p>
    <w:p>
      <w:pPr>
        <w:spacing w:after="80" w:before="40"/>
      </w:pPr>
      <w:r>
        <w:rPr>
          <w:i/>
          <w:iCs/>
          <w:color w:val="595959"/>
          <w:sz w:val="18"/>
          <w:szCs w:val="18"/>
        </w:rPr>
        <w:t xml:space="preserve">Risk = Severity × Likelihood (S × L = R). See POL_HSQE_21 Risk Assessment policy for the full scoring matrix.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19"/>
        <w:gridCol w:w="4819"/>
      </w:tblGrid>
      <w:tr>
        <w:tc>
          <w:tcPr>
            <w:tcW w:type="dxa" w:w="4819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FC000" w:color="auto" w:val="clear"/>
            <w:tcMar>
              <w:top w:type="dxa" w:w="140"/>
              <w:left w:type="dxa" w:w="160"/>
              <w:bottom w:type="dxa" w:w="140"/>
              <w:right w:type="dxa" w:w="16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aps/>
                <w:color w:val="5D4037"/>
                <w:spacing w:val="30"/>
                <w:sz w:val="18"/>
                <w:szCs w:val="18"/>
              </w:rPr>
              <w:t xml:space="preserve">Before controls</w:t>
            </w:r>
            <w:r>
              <w:rPr>
                <w:color w:val="5D4037"/>
                <w:sz w:val="18"/>
                <w:szCs w:val="18"/>
              </w:rPr>
              <w:t xml:space="preserve">  —  </w:t>
            </w:r>
            <w:r>
              <w:rPr>
                <w:b/>
                <w:bCs/>
                <w:color w:val="5D4037"/>
                <w:sz w:val="22"/>
                <w:szCs w:val="22"/>
              </w:rPr>
              <w:t xml:space="preserve">Moderate</w:t>
            </w:r>
          </w:p>
        </w:tc>
        <w:tc>
          <w:tcPr>
            <w:tcW w:type="dxa" w:w="4819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92D050" w:color="auto" w:val="clear"/>
            <w:tcMar>
              <w:top w:type="dxa" w:w="140"/>
              <w:left w:type="dxa" w:w="160"/>
              <w:bottom w:type="dxa" w:w="140"/>
              <w:right w:type="dxa" w:w="16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aps/>
                <w:color w:val="1B5E20"/>
                <w:spacing w:val="30"/>
                <w:sz w:val="18"/>
                <w:szCs w:val="18"/>
              </w:rPr>
              <w:t xml:space="preserve">With controls</w:t>
            </w:r>
            <w:r>
              <w:rPr>
                <w:color w:val="1B5E20"/>
                <w:sz w:val="18"/>
                <w:szCs w:val="18"/>
              </w:rPr>
              <w:t xml:space="preserve">  —  </w:t>
            </w:r>
            <w:r>
              <w:rPr>
                <w:b/>
                <w:bCs/>
                <w:color w:val="1B5E20"/>
                <w:sz w:val="22"/>
                <w:szCs w:val="22"/>
              </w:rPr>
              <w:t xml:space="preserve">Low</w:t>
            </w:r>
          </w:p>
        </w:tc>
      </w:tr>
    </w:tbl>
    <w:p>
      <w:pPr>
        <w:pBdr>
          <w:bottom w:val="single" w:color="6499c7" w:sz="8" w:space="4"/>
        </w:pBdr>
        <w:spacing w:after="120" w:before="360"/>
      </w:pPr>
      <w:r>
        <w:rPr>
          <w:b/>
          <w:bCs/>
          <w:color w:val="1e3a5f"/>
          <w:sz w:val="26"/>
          <w:szCs w:val="26"/>
        </w:rPr>
        <w:t xml:space="preserve">11. Training Requirements</w:t>
      </w:r>
    </w:p>
    <w:p>
      <w:pPr>
        <w:spacing w:after="40" w:before="40"/>
        <w:ind w:left="200" w:hanging="200"/>
      </w:pPr>
      <w:r>
        <w:rPr>
          <w:b/>
          <w:bCs/>
          <w:color w:val="2c4f7c"/>
          <w:sz w:val="20"/>
          <w:szCs w:val="20"/>
        </w:rPr>
        <w:t xml:space="preserve">•  </w:t>
      </w:r>
      <w:r>
        <w:rPr>
          <w:i w:val="false"/>
          <w:iCs w:val="false"/>
          <w:sz w:val="20"/>
          <w:szCs w:val="20"/>
        </w:rPr>
        <w:t xml:space="preserve">Flammable liquids handling</w:t>
      </w:r>
    </w:p>
    <w:p>
      <w:pPr>
        <w:spacing w:after="40" w:before="40"/>
        <w:ind w:left="200" w:hanging="200"/>
      </w:pPr>
      <w:r>
        <w:rPr>
          <w:b/>
          <w:bCs/>
          <w:color w:val="2c4f7c"/>
          <w:sz w:val="20"/>
          <w:szCs w:val="20"/>
        </w:rPr>
        <w:t xml:space="preserve">•  </w:t>
      </w:r>
      <w:r>
        <w:rPr>
          <w:i w:val="false"/>
          <w:iCs w:val="false"/>
          <w:sz w:val="20"/>
          <w:szCs w:val="20"/>
        </w:rPr>
        <w:t xml:space="preserve">Fire response</w:t>
      </w:r>
    </w:p>
    <w:p>
      <w:pPr>
        <w:pBdr>
          <w:bottom w:val="single" w:color="6499c7" w:sz="8" w:space="4"/>
        </w:pBdr>
        <w:spacing w:after="120" w:before="360"/>
      </w:pPr>
      <w:r>
        <w:rPr>
          <w:b/>
          <w:bCs/>
          <w:color w:val="1e3a5f"/>
          <w:sz w:val="26"/>
          <w:szCs w:val="26"/>
        </w:rPr>
        <w:t xml:space="preserve">12. Monitoring &amp; Review</w:t>
      </w:r>
    </w:p>
    <w:p>
      <w:pPr>
        <w:spacing w:after="40" w:before="40"/>
        <w:ind w:left="200" w:hanging="200"/>
      </w:pPr>
      <w:r>
        <w:rPr>
          <w:b/>
          <w:bCs/>
          <w:color w:val="2c4f7c"/>
          <w:sz w:val="20"/>
          <w:szCs w:val="20"/>
        </w:rPr>
        <w:t xml:space="preserve">•  </w:t>
      </w:r>
      <w:r>
        <w:rPr>
          <w:i w:val="false"/>
          <w:iCs w:val="false"/>
          <w:sz w:val="20"/>
          <w:szCs w:val="20"/>
        </w:rPr>
        <w:t xml:space="preserve">Monthly storage inspection</w:t>
      </w:r>
    </w:p>
    <w:p>
      <w:pPr>
        <w:spacing w:after="40" w:before="40"/>
        <w:ind w:left="200" w:hanging="200"/>
      </w:pPr>
      <w:r>
        <w:rPr>
          <w:b/>
          <w:bCs/>
          <w:color w:val="2c4f7c"/>
          <w:sz w:val="20"/>
          <w:szCs w:val="20"/>
        </w:rPr>
        <w:t xml:space="preserve">•  </w:t>
      </w:r>
      <w:r>
        <w:rPr>
          <w:i w:val="false"/>
          <w:iCs w:val="false"/>
          <w:sz w:val="20"/>
          <w:szCs w:val="20"/>
        </w:rPr>
        <w:t xml:space="preserve">Annual COSHH review</w:t>
      </w:r>
    </w:p>
    <w:p>
      <w:pPr>
        <w:pBdr>
          <w:bottom w:val="single" w:color="6499c7" w:sz="8" w:space="4"/>
        </w:pBdr>
        <w:spacing w:after="120" w:before="360"/>
      </w:pPr>
      <w:r>
        <w:rPr>
          <w:b/>
          <w:bCs/>
          <w:color w:val="1e3a5f"/>
          <w:sz w:val="26"/>
          <w:szCs w:val="26"/>
        </w:rPr>
        <w:t xml:space="preserve">13. References</w:t>
      </w:r>
    </w:p>
    <w:p>
      <w:pPr>
        <w:spacing w:after="40" w:before="40"/>
        <w:ind w:left="200" w:hanging="200"/>
      </w:pPr>
      <w:r>
        <w:rPr>
          <w:b/>
          <w:bCs/>
          <w:color w:val="2c4f7c"/>
          <w:sz w:val="20"/>
          <w:szCs w:val="20"/>
        </w:rPr>
        <w:t xml:space="preserve">•  </w:t>
      </w:r>
      <w:r>
        <w:rPr>
          <w:i w:val="false"/>
          <w:iCs w:val="false"/>
          <w:sz w:val="20"/>
          <w:szCs w:val="20"/>
        </w:rPr>
        <w:t xml:space="preserve">POL</w:t>
      </w:r>
      <w:r>
        <w:rPr>
          <w:i/>
          <w:iCs/>
          <w:color w:val="595959"/>
          <w:sz w:val="20"/>
          <w:szCs w:val="20"/>
        </w:rPr>
        <w:t xml:space="preserve">HSQE</w:t>
      </w:r>
      <w:r>
        <w:rPr>
          <w:i w:val="false"/>
          <w:iCs w:val="false"/>
          <w:sz w:val="20"/>
          <w:szCs w:val="20"/>
        </w:rPr>
        <w:t xml:space="preserve">08 — COSHH Policy</w:t>
      </w:r>
    </w:p>
    <w:p>
      <w:pPr>
        <w:spacing w:after="40" w:before="40"/>
        <w:ind w:left="200" w:hanging="200"/>
      </w:pPr>
      <w:r>
        <w:rPr>
          <w:b/>
          <w:bCs/>
          <w:color w:val="2c4f7c"/>
          <w:sz w:val="20"/>
          <w:szCs w:val="20"/>
        </w:rPr>
        <w:t xml:space="preserve">•  </w:t>
      </w:r>
      <w:r>
        <w:rPr>
          <w:i w:val="false"/>
          <w:iCs w:val="false"/>
          <w:sz w:val="20"/>
          <w:szCs w:val="20"/>
        </w:rPr>
        <w:t xml:space="preserve">POL</w:t>
      </w:r>
      <w:r>
        <w:rPr>
          <w:i/>
          <w:iCs/>
          <w:color w:val="595959"/>
          <w:sz w:val="20"/>
          <w:szCs w:val="20"/>
        </w:rPr>
        <w:t xml:space="preserve">HSQE</w:t>
      </w:r>
      <w:r>
        <w:rPr>
          <w:i w:val="false"/>
          <w:iCs w:val="false"/>
          <w:sz w:val="20"/>
          <w:szCs w:val="20"/>
        </w:rPr>
        <w:t xml:space="preserve">19 — Personal Protective Equipment (PPE) Policy</w:t>
      </w:r>
    </w:p>
    <w:p>
      <w:pPr>
        <w:spacing w:after="40" w:before="40"/>
        <w:ind w:left="200" w:hanging="200"/>
      </w:pPr>
      <w:r>
        <w:rPr>
          <w:b/>
          <w:bCs/>
          <w:color w:val="2c4f7c"/>
          <w:sz w:val="20"/>
          <w:szCs w:val="20"/>
        </w:rPr>
        <w:t xml:space="preserve">•  </w:t>
      </w:r>
      <w:r>
        <w:rPr>
          <w:i w:val="false"/>
          <w:iCs w:val="false"/>
          <w:sz w:val="20"/>
          <w:szCs w:val="20"/>
        </w:rPr>
        <w:t xml:space="preserve">HSE COSHH Regulations 2002 (SI 2002/2677, as amended)</w:t>
      </w:r>
    </w:p>
    <w:p>
      <w:pPr>
        <w:spacing w:after="40" w:before="40"/>
        <w:ind w:left="200" w:hanging="200"/>
      </w:pPr>
      <w:r>
        <w:rPr>
          <w:b/>
          <w:bCs/>
          <w:color w:val="2c4f7c"/>
          <w:sz w:val="20"/>
          <w:szCs w:val="20"/>
        </w:rPr>
        <w:t xml:space="preserve">•  </w:t>
      </w:r>
      <w:r>
        <w:rPr>
          <w:i w:val="false"/>
          <w:iCs w:val="false"/>
          <w:sz w:val="20"/>
          <w:szCs w:val="20"/>
        </w:rPr>
        <w:t xml:space="preserve">HSE EH40/2005 Workplace Exposure Limits</w:t>
      </w:r>
    </w:p>
    <w:p>
      <w:pPr>
        <w:spacing w:after="40" w:before="40"/>
        <w:ind w:left="200" w:hanging="200"/>
      </w:pPr>
      <w:r>
        <w:rPr>
          <w:b/>
          <w:bCs/>
          <w:color w:val="2c4f7c"/>
          <w:sz w:val="20"/>
          <w:szCs w:val="20"/>
        </w:rPr>
        <w:t xml:space="preserve">•  </w:t>
      </w:r>
      <w:r>
        <w:rPr>
          <w:i w:val="false"/>
          <w:iCs w:val="false"/>
          <w:sz w:val="20"/>
          <w:szCs w:val="20"/>
        </w:rPr>
        <w:t xml:space="preserve">CLP Regulation (EC) No 1272/2008 (as retained in UK law)</w:t>
      </w:r>
    </w:p>
    <w:p>
      <w:pPr>
        <w:spacing w:after="0" w:before="480"/>
        <w:jc w:val="center"/>
      </w:pPr>
      <w:r>
        <w:rPr>
          <w:i/>
          <w:iCs/>
          <w:color w:val="595959"/>
          <w:sz w:val="18"/>
          <w:szCs w:val="18"/>
        </w:rPr>
        <w:t xml:space="preserve">This assessment must be reviewed annually or sooner if circumstances change. For the full management-system context (SOPs, Appendices, Audit records) see https://amwaterservices.onyxoperations.co.uk/</w:t>
      </w:r>
    </w:p>
    <w:sectPr>
      <w:headerReference w:type="default" r:id="rId7"/>
      <w:footerReference w:type="default" r:id="rId8"/>
      <w:pgSz w:w="11906" w:h="16838" w:orient="portrait"/>
      <w:pgMar w:top="1700" w:right="1134" w:bottom="1200" w:left="1134" w:header="567" w:footer="567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1e3a5f" w:sz="8" w:space="1"/>
      </w:pBdr>
      <w:spacing w:after="60" w:before="0"/>
    </w:pPr>
    <w:r>
      <w:t xml:space="preserve"/>
    </w:r>
  </w:p>
  <w:p>
    <w:pPr>
      <w:tabs>
        <w:tab w:val="right" w:pos="9638"/>
      </w:tabs>
    </w:pPr>
    <w:r>
      <w:rPr>
        <w:color w:val="595959"/>
        <w:sz w:val="16"/>
        <w:szCs w:val="16"/>
      </w:rPr>
      <w:t xml:space="preserve">COSHH_03 — Carplan All Seasons Screenwash · Issue 2 · 1 June 2026</w:t>
    </w:r>
    <w:r>
      <w:rPr>
        <w:sz w:val="16"/>
        <w:szCs w:val="16"/>
      </w:rPr>
      <w:t xml:space="preserve">	</w:t>
    </w:r>
    <w:r>
      <w:rPr>
        <w:color w:val="595959"/>
        <w:sz w:val="16"/>
        <w:szCs w:val="16"/>
      </w:rPr>
      <w:t xml:space="preserve">Page </w:t>
    </w:r>
    <w:r>
      <w:rPr>
        <w:color w:val="595959"/>
        <w:sz w:val="16"/>
        <w:szCs w:val="16"/>
      </w:rPr>
      <w:fldChar w:fldCharType="begin"/>
      <w:instrText xml:space="preserve">PAGE</w:instrText>
      <w:fldChar w:fldCharType="separate"/>
      <w:fldChar w:fldCharType="end"/>
    </w:r>
    <w:r>
      <w:rPr>
        <w:color w:val="595959"/>
        <w:sz w:val="16"/>
        <w:szCs w:val="16"/>
      </w:rPr>
      <w:t xml:space="preserve"> of </w:t>
    </w:r>
    <w:r>
      <w:rPr>
        <w:color w:val="595959"/>
        <w:sz w:val="16"/>
        <w:szCs w:val="16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spacing w:after="60"/>
    </w:pPr>
    <w:r>
      <w:drawing>
        <wp:inline distT="0" distB="0" distL="0" distR="0">
          <wp:extent cx="1276350" cy="485775"/>
          <wp:effectExtent t="0" r="0" b="0" l="0"/>
          <wp:docPr id="1" name="amws-logo" descr="A M Water Services Ltd" title="AMW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4857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Bdr>
        <w:bottom w:val="single" w:color="1e3a5f" w:sz="12" w:space="1"/>
      </w:pBdr>
      <w:spacing w:after="0" w:before="0"/>
    </w:pPr>
    <w:r>
      <w:t xml:space="preserv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d2b6b118bf66158c8730411d5e7b60704c4e0338.jp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COSHH_03 — Carplan All Seasons Screenwash</dc:title>
  <dc:creator>Sean Ashton (Onyx Operations)</dc:creator>
  <dc:description>A M Water Services Ltd — Van Pack COSHH Assessment</dc:description>
  <cp:lastModifiedBy>Un-named</cp:lastModifiedBy>
  <cp:revision>1</cp:revision>
  <dcterms:created xsi:type="dcterms:W3CDTF">2026-05-28T10:42:37.338Z</dcterms:created>
  <dcterms:modified xsi:type="dcterms:W3CDTF">2026-05-28T10:42:37.338Z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