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Comma Eurolite 10W-40 Semi-Synthetic Motor Oil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COSHH_05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EUL-L.pdf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Comma Eurolite 10W-40 Semi-Synthetic Motor Oil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Comma Oil &amp; Chemicals Ltd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Highly-refined mineral base oil + performance additives — CAS: 64742-54-7 (base oil)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Viscous liquid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Amber/brown liquid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Engine lubricant for petrol and diesel vehicles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Not classified as hazardous (fresh oil). Used oil may contain hazardous combustion products.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 w:val="false"/>
                <w:iCs w:val="false"/>
                <w:sz w:val="20"/>
                <w:szCs w:val="20"/>
              </w:rPr>
              <w:t xml:space="preserve">Not required — product not classified.</w:t>
            </w:r>
          </w:p>
          <w:p>
            <w:pPr>
              <w:spacing w:after="20" w:before="80"/>
            </w:pPr>
            <w:r>
              <w:rPr>
                <w:b/>
                <w:bCs/>
                <w:sz w:val="18"/>
                <w:szCs w:val="18"/>
              </w:rPr>
              <w:t xml:space="preserve">Hazard statements: </w:t>
            </w:r>
            <w:r>
              <w:rPr>
                <w:i w:val="false"/>
                <w:iCs w:val="false"/>
                <w:sz w:val="18"/>
                <w:szCs w:val="18"/>
              </w:rPr>
              <w:t xml:space="preserve">No hazard classification required under CLP.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Precautionary statements (P-codes)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P264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Wash thoroughly after handling.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P280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Wear protective gloves/protective clothing/eye protection/face protection.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P501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Dispose of contents/container to an authorised waste contractor in accordance with local regulations.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GHS pictograms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No GHS pictograms apply — product not classified as hazardous.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Vehicle maintenance staff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Plant operators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Inhalation: Low — mist possible during pouring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 contact: Repeated/prolonged contact may cause dermatitis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 contact: Mild irritation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Ingestion: Low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rPr>
          <w:tblHeader/>
        </w:trP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Substance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8-hr TWA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15-min STEL</w:t>
            </w:r>
          </w:p>
        </w:tc>
      </w:tr>
      <w:t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Oil mist, mineral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5 mg/m³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10 mg/m³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Drip trays under dispensing points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Bunded storage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Avoid skin contact — used oil is a recognised carcinogen (see HSE INDG35)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Change contaminated clothing promptly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Nitrile gloves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Safety glasses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Overalls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Ambient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Dry store, bunded if bulk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Strong oxidisers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Original container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with water for 15 minutes. Seek medical advice if irritation persists.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Wash with soap and water. Apply emollient. Seek medical advice if dermatitis develops.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Move to fresh air.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Do not induce vomiting. Seek medical advice.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Absorb with sand or proprietary oil absorbent. Dispose as special/hazardous waste.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Combustible if heated. Use foam, dry powder or CO₂.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Emergency services: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NHS non-emergency: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AMWS supervisor: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HSQE support: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Used engine oil is hazardous (EWC 13 02). Contain and send via authorised waste oil collector.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Minimal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 oil handling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Used-oil segregation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Skin-care awareness (used oil carcinogen)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Monthly storage-area inspection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Annual COSHH review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EH40/2005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COSHH_05 — Comma Eurolite 10W-40 Semi-Synthetic Motor Oil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COSHH_05 — Comma Eurolite 10W-40 Semi-Synthetic Motor Oil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2026-05-28T10:42:37.361Z</dcterms:created>
  <dcterms:modified xsi:type="dcterms:W3CDTF">2026-05-28T10:42:37.361Z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