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120"/>
      </w:pPr>
      <w:r>
        <w:rPr>
          <w:b/>
          <w:bCs/>
          <w:caps/>
          <w:color w:val="2c4f7c"/>
          <w:spacing w:val="30"/>
          <w:sz w:val="22"/>
          <w:szCs w:val="22"/>
        </w:rPr>
        <w:t xml:space="preserve">COSHH Assessment</w:t>
      </w:r>
    </w:p>
    <w:p>
      <w:pPr>
        <w:spacing w:after="240" w:before="0"/>
      </w:pPr>
      <w:r>
        <w:rPr>
          <w:b/>
          <w:bCs/>
          <w:color w:val="1e3a5f"/>
          <w:sz w:val="40"/>
          <w:szCs w:val="40"/>
        </w:rPr>
        <w:t xml:space="preserve">STIHL HP 2-Stroke Engine Oil (100 ml)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3"/>
        <w:gridCol w:w="6425"/>
      </w:tblGrid>
      <w:tr>
        <w:trPr>
          <w:tblHeader/>
        </w:trPr>
        <w:tc>
          <w:tcPr>
            <w:tcW w:type="dxa" w:w="9638"/>
            <w:gridSpan w:val="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r>
              <w:rPr>
                <w:b/>
                <w:bCs/>
                <w:caps/>
                <w:color w:val="FFFFFF"/>
                <w:spacing w:val="40"/>
                <w:sz w:val="22"/>
                <w:szCs w:val="22"/>
              </w:rPr>
              <w:t xml:space="preserve">Document Information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Document Reference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COSHH_22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Issue Number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Issue Date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1 June 2026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Next Review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1 June 2027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Assessor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Sean Ashton (Onyx Operations)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Approved By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Aaron Mason, Director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6499c7" w:sz="4"/>
              <w:left w:val="single" w:color="1e3a5f" w:sz="12"/>
              <w:bottom w:val="single" w:color="6499c7" w:sz="4"/>
              <w:right w:val="single" w:color="6499c7" w:sz="4"/>
            </w:tcBorders>
            <w:shd w:fill="F2F2F2" w:color="auto" w:val="clear"/>
            <w:tcMar>
              <w:top w:type="dxa" w:w="140"/>
              <w:left w:type="dxa" w:w="200"/>
              <w:bottom w:type="dxa" w:w="140"/>
              <w:right w:type="dxa" w:w="200"/>
            </w:tcMar>
            <w:vAlign w:val="top"/>
          </w:tcPr>
          <w:p>
            <w:pPr>
              <w:spacing w:after="80" w:before="0"/>
            </w:pPr>
            <w:r>
              <w:rPr>
                <w:b/>
                <w:bCs/>
                <w:caps/>
                <w:color w:val="1e3a5f"/>
                <w:spacing w:val="30"/>
                <w:sz w:val="20"/>
                <w:szCs w:val="20"/>
              </w:rPr>
              <w:t xml:space="preserve">Key references</w:t>
            </w:r>
          </w:p>
          <w:p>
            <w:pPr>
              <w:spacing w:after="40" w:before="40"/>
            </w:pPr>
            <w:r>
              <w:rPr>
                <w:b/>
                <w:bCs/>
                <w:color w:val="1e3a5f"/>
                <w:sz w:val="22"/>
                <w:szCs w:val="22"/>
              </w:rPr>
              <w:t xml:space="preserve">▸  </w:t>
            </w:r>
            <w:r>
              <w:rPr>
                <w:b/>
                <w:bCs/>
                <w:color w:val="1e3a5f"/>
                <w:sz w:val="20"/>
                <w:szCs w:val="20"/>
              </w:rPr>
              <w:t xml:space="preserve">SDS not available</w:t>
            </w:r>
            <w:r>
              <w:rPr>
                <w:color w:val="595959"/>
                <w:sz w:val="20"/>
                <w:szCs w:val="20"/>
              </w:rPr>
              <w:t xml:space="preserve"> — Manufacturer Safety Data Sheet</w:t>
            </w:r>
          </w:p>
          <w:p>
            <w:pPr>
              <w:spacing w:after="40" w:before="40"/>
            </w:pPr>
            <w:r>
              <w:rPr>
                <w:b/>
                <w:bCs/>
                <w:color w:val="1e3a5f"/>
                <w:sz w:val="22"/>
                <w:szCs w:val="22"/>
              </w:rPr>
              <w:t xml:space="preserve">▸  </w:t>
            </w:r>
            <w:r>
              <w:rPr>
                <w:b/>
                <w:bCs/>
                <w:color w:val="1e3a5f"/>
                <w:sz w:val="20"/>
                <w:szCs w:val="20"/>
              </w:rPr>
              <w:t xml:space="preserve">Van Packs portal — COSHH section</w:t>
            </w:r>
            <w:r>
              <w:rPr>
                <w:color w:val="595959"/>
                <w:sz w:val="20"/>
                <w:szCs w:val="20"/>
              </w:rPr>
              <w:t xml:space="preserve"> — Synchronised copy carried by every operative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1. Product Identification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838"/>
      </w:tblGrid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Product name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STIHL HP 2-Stroke Engine Oil (100 ml)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Supplier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Andreas Stihl Ltd / CID Group (supplied unit)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Active ingredients / CAS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Petroleum mineral oil lubricant base + proprietary performance additives — CAS: 64742-65-0 (solvent-refined heavy paraffinic oil) + others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Physical form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Liquid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Appearance / odour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Red-tinted oil, mild hydrocarbon odour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Use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2-stroke fuel mix additive (50:1 ratio) for petrol-powered Stihl tools (disc-cutters, saws, breakers)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2. Hazard Classification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F0B900" w:sz="4"/>
              <w:left w:val="single" w:color="F0B900" w:sz="12"/>
              <w:bottom w:val="single" w:color="F0B900" w:sz="4"/>
              <w:right w:val="single" w:color="F0B900" w:sz="4"/>
            </w:tcBorders>
            <w:shd w:fill="FFF8E1" w:color="auto" w:val="clear"/>
            <w:tcMar>
              <w:top w:type="dxa" w:w="140"/>
              <w:left w:type="dxa" w:w="200"/>
              <w:bottom w:type="dxa" w:w="140"/>
              <w:right w:type="dxa" w:w="200"/>
            </w:tcMar>
            <w:vAlign w:val="top"/>
          </w:tcPr>
          <w:p>
            <w:pPr>
              <w:spacing w:after="40" w:before="40"/>
            </w:pPr>
            <w:r>
              <w:rPr>
                <w:b/>
                <w:bCs/>
                <w:color w:val="0f1f33"/>
                <w:sz w:val="20"/>
                <w:szCs w:val="20"/>
              </w:rPr>
              <w:t xml:space="preserve">Overall classification: </w:t>
            </w:r>
            <w:r>
              <w:rPr>
                <w:i w:val="false"/>
                <w:iCs w:val="false"/>
                <w:sz w:val="20"/>
                <w:szCs w:val="20"/>
              </w:rPr>
              <w:t xml:space="preserve">Aspiration Toxicity Cat 1, Aquatic Chronic 3</w:t>
            </w:r>
          </w:p>
          <w:p>
            <w:pPr>
              <w:spacing w:after="40" w:before="40"/>
            </w:pPr>
            <w:r>
              <w:rPr>
                <w:b/>
                <w:bCs/>
                <w:color w:val="0f1f33"/>
                <w:sz w:val="20"/>
                <w:szCs w:val="20"/>
              </w:rPr>
              <w:t xml:space="preserve">Signal word: </w:t>
            </w:r>
            <w:r>
              <w:rPr>
                <w:i w:val="false"/>
                <w:iCs w:val="false"/>
                <w:sz w:val="20"/>
                <w:szCs w:val="20"/>
              </w:rPr>
              <w:t xml:space="preserve">Danger</w:t>
            </w:r>
          </w:p>
          <w:p>
            <w:pPr>
              <w:spacing w:after="40" w:before="120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Hazard statements (H-codes)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H304  </w:t>
            </w:r>
            <w:r>
              <w:rPr>
                <w:i w:val="false"/>
                <w:iCs w:val="false"/>
                <w:sz w:val="18"/>
                <w:szCs w:val="18"/>
              </w:rPr>
              <w:t xml:space="preserve">May be fatal if swallowed and enters airways.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H412  </w:t>
            </w:r>
            <w:r>
              <w:rPr>
                <w:i w:val="false"/>
                <w:iCs w:val="false"/>
                <w:sz w:val="18"/>
                <w:szCs w:val="18"/>
              </w:rPr>
              <w:t xml:space="preserve">Harmful to aquatic life with long lasting effects.</w:t>
            </w:r>
          </w:p>
          <w:p>
            <w:pPr>
              <w:spacing w:after="40" w:before="120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Precautionary statements (P-codes)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P102  </w:t>
            </w:r>
            <w:r>
              <w:rPr>
                <w:i w:val="false"/>
                <w:iCs w:val="false"/>
                <w:sz w:val="18"/>
                <w:szCs w:val="18"/>
              </w:rPr>
              <w:t xml:space="preserve">Keep out of reach of children.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P264  </w:t>
            </w:r>
            <w:r>
              <w:rPr>
                <w:i w:val="false"/>
                <w:iCs w:val="false"/>
                <w:sz w:val="18"/>
                <w:szCs w:val="18"/>
              </w:rPr>
              <w:t xml:space="preserve">Wash thoroughly after handling.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P273  </w:t>
            </w:r>
            <w:r>
              <w:rPr>
                <w:i w:val="false"/>
                <w:iCs w:val="false"/>
                <w:sz w:val="18"/>
                <w:szCs w:val="18"/>
              </w:rPr>
              <w:t xml:space="preserve">Avoid release to the environment.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P301+310  </w:t>
            </w:r>
            <w:r>
              <w:rPr>
                <w:i w:val="false"/>
                <w:iCs w:val="false"/>
                <w:sz w:val="18"/>
                <w:szCs w:val="18"/>
              </w:rPr>
              <w:t xml:space="preserve">IF SWALLOWED: Immediately call a POISON CENTRE or doctor/physician.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P331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Do NOT induce vomiting.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P405  </w:t>
            </w:r>
            <w:r>
              <w:rPr>
                <w:i w:val="false"/>
                <w:iCs w:val="false"/>
                <w:sz w:val="18"/>
                <w:szCs w:val="18"/>
              </w:rPr>
              <w:t xml:space="preserve">Store locked up.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P501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Dispose of contents/container to an authorised waste contractor in accordance with local regulations.</w:t>
            </w:r>
          </w:p>
          <w:p>
            <w:pPr>
              <w:spacing w:after="40" w:before="120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GHS pictograms</w:t>
            </w:r>
          </w:p>
          <w:p>
            <w:pPr>
              <w:spacing w:after="20" w:before="20"/>
              <w:ind w:left="200" w:hanging="200"/>
            </w:pPr>
            <w:r>
              <w:rPr>
                <w:b/>
                <w:bCs/>
                <w:color w:val="2c4f7c"/>
                <w:sz w:val="18"/>
                <w:szCs w:val="18"/>
              </w:rPr>
              <w:t xml:space="preserve">•  </w:t>
            </w:r>
            <w:r>
              <w:rPr>
                <w:i w:val="false"/>
                <w:iCs w:val="false"/>
                <w:sz w:val="18"/>
                <w:szCs w:val="18"/>
              </w:rPr>
              <w:t xml:space="preserve">GHS08 — Health hazard (serious)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3. Persons at Risk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Operatives using Stihl 2-stroke tools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Fuel-mixing personnel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4. Routes of Exposure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Inhalation: Low — not volatile at ambient temperature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Skin contact: Repeated/prolonged contact may cause dermatitis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Eye contact: Mild irritation on direct contact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Ingestion: May be fatal if swallowed and enters airways (aspiration hazard)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5. Workplace Exposure Limits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2"/>
      </w:tblGrid>
      <w:tr>
        <w:trPr>
          <w:tblHeader/>
        </w:trPr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Substance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8-hr TWA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15-min STEL</w:t>
            </w:r>
          </w:p>
        </w:tc>
      </w:tr>
      <w:tr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Oil mist, mineral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5 mg/m³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10 mg/m³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6. Control Measures — Hierarchy of Controls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Elimination / substitution</w:t>
      </w:r>
    </w:p>
    <w:p>
      <w:pPr>
        <w:spacing w:after="40" w:before="40"/>
      </w:pPr>
      <w:r>
        <w:rPr>
          <w:sz w:val="20"/>
          <w:szCs w:val="20"/>
        </w:rPr>
        <w:t xml:space="preserve">Evaluated where practicable — see Section 12.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Engineering controls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Mix fuel outdoors where possible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Use proprietary fuel-mixing bottle (pre-marked 50:1 graduations)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Drip tray for decanting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Administrative controls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Mix only sufficient fuel for the day's work (do not store mixed fuel long-term)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Label all mixed fuel containers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Keep away from food/drink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Personal Protective Equipment (PPE)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Nitrile gloves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Safety glasses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7. Storage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838"/>
      </w:tblGrid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Temperature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Ambient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Location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Dry store, away from food and drink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Avoid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Direct heat, strong oxidisers, food/drink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Container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Original 100 ml bottle — keep tightly closed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8. Emergency Procedures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First aid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438"/>
      </w:tblGrid>
      <w:tr>
        <w:trPr>
          <w:tblHeader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Route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Eyes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Rinse with water for several minutes.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Skin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Wash with soap and water.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Inhalation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Move to fresh air.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Ingestion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**DO NOT induce vomiting** (aspiration risk). Rinse mouth. Seek immediate medical attention — POISON CENTRE: 111 (NHS) or 999.</w:t>
            </w:r>
          </w:p>
        </w:tc>
      </w:tr>
    </w:tbl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Spillage</w:t>
      </w:r>
    </w:p>
    <w:p>
      <w:pPr>
        <w:spacing w:after="40" w:before="40"/>
      </w:pPr>
      <w:r>
        <w:rPr>
          <w:i w:val="false"/>
          <w:iCs w:val="false"/>
          <w:sz w:val="20"/>
          <w:szCs w:val="20"/>
        </w:rPr>
        <w:t xml:space="preserve">Absorb with sand, vermiculite or proprietary oil absorbent. Dispose as hazardous waste. Do not release to drains or watercourses.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Fire</w:t>
      </w:r>
    </w:p>
    <w:p>
      <w:pPr>
        <w:spacing w:after="40" w:before="40"/>
      </w:pPr>
      <w:r>
        <w:rPr>
          <w:i w:val="false"/>
          <w:iCs w:val="false"/>
          <w:sz w:val="20"/>
          <w:szCs w:val="20"/>
        </w:rPr>
        <w:t xml:space="preserve">Combustible when heated. Use foam, dry powder or CO₂.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Emergency contacts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Emergency services: 999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NHS non-emergency: 111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AMWS supervisor: Jason May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HSQE support: Sean Ashton (Onyx Operations)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9. Waste Disposal</w:t>
      </w:r>
    </w:p>
    <w:p>
      <w:pPr>
        <w:spacing w:after="40" w:before="40"/>
      </w:pPr>
      <w:r>
        <w:rPr>
          <w:i w:val="false"/>
          <w:iCs w:val="false"/>
          <w:sz w:val="20"/>
          <w:szCs w:val="20"/>
        </w:rPr>
        <w:t xml:space="preserve">Hazardous waste (EWC 13 02 05*). Dispose via authorised waste-oil contractor.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10. Risk Rating</w:t>
      </w:r>
    </w:p>
    <w:p>
      <w:pPr>
        <w:spacing w:after="80" w:before="40"/>
      </w:pPr>
      <w:r>
        <w:rPr>
          <w:i/>
          <w:iCs/>
          <w:color w:val="595959"/>
          <w:sz w:val="18"/>
          <w:szCs w:val="18"/>
        </w:rPr>
        <w:t xml:space="preserve">Risk = Severity × Likelihood (S × L = R). See POL_HSQE_21 Risk Assessment policy for the full scoring matrix.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C000" w:color="auto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aps/>
                <w:color w:val="5D4037"/>
                <w:spacing w:val="30"/>
                <w:sz w:val="18"/>
                <w:szCs w:val="18"/>
              </w:rPr>
              <w:t xml:space="preserve">Before controls</w:t>
            </w:r>
            <w:r>
              <w:rPr>
                <w:color w:val="5D4037"/>
                <w:sz w:val="18"/>
                <w:szCs w:val="18"/>
              </w:rPr>
              <w:t xml:space="preserve">  —  </w:t>
            </w:r>
            <w:r>
              <w:rPr>
                <w:b/>
                <w:bCs/>
                <w:color w:val="5D4037"/>
                <w:sz w:val="22"/>
                <w:szCs w:val="22"/>
              </w:rPr>
              <w:t xml:space="preserve">Moderate</w:t>
            </w:r>
          </w:p>
        </w:tc>
        <w:tc>
          <w:tcPr>
            <w:tcW w:type="dxa" w:w="48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92D050" w:color="auto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aps/>
                <w:color w:val="1B5E20"/>
                <w:spacing w:val="30"/>
                <w:sz w:val="18"/>
                <w:szCs w:val="18"/>
              </w:rPr>
              <w:t xml:space="preserve">With controls</w:t>
            </w:r>
            <w:r>
              <w:rPr>
                <w:color w:val="1B5E20"/>
                <w:sz w:val="18"/>
                <w:szCs w:val="18"/>
              </w:rPr>
              <w:t xml:space="preserve">  —  </w:t>
            </w:r>
            <w:r>
              <w:rPr>
                <w:b/>
                <w:bCs/>
                <w:color w:val="1B5E20"/>
                <w:sz w:val="22"/>
                <w:szCs w:val="22"/>
              </w:rPr>
              <w:t xml:space="preserve">Low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11. Training Requirements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Fuel-mixing procedure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Spill response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Hand-arm vibration awareness (tool operation)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12. Monitoring &amp; Review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Weekly van-pack inspection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Annual COSHH review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13. References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POL</w:t>
      </w:r>
      <w:r>
        <w:rPr>
          <w:i/>
          <w:iCs/>
          <w:color w:val="595959"/>
          <w:sz w:val="20"/>
          <w:szCs w:val="20"/>
        </w:rPr>
        <w:t xml:space="preserve">HSQE</w:t>
      </w:r>
      <w:r>
        <w:rPr>
          <w:i w:val="false"/>
          <w:iCs w:val="false"/>
          <w:sz w:val="20"/>
          <w:szCs w:val="20"/>
        </w:rPr>
        <w:t xml:space="preserve">08 — COSHH Policy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POL</w:t>
      </w:r>
      <w:r>
        <w:rPr>
          <w:i/>
          <w:iCs/>
          <w:color w:val="595959"/>
          <w:sz w:val="20"/>
          <w:szCs w:val="20"/>
        </w:rPr>
        <w:t xml:space="preserve">HSQE</w:t>
      </w:r>
      <w:r>
        <w:rPr>
          <w:i w:val="false"/>
          <w:iCs w:val="false"/>
          <w:sz w:val="20"/>
          <w:szCs w:val="20"/>
        </w:rPr>
        <w:t xml:space="preserve">19 — Personal Protective Equipment (PPE) Policy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HSE COSHH Regulations 2002 (SI 2002/2677, as amended)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HSE EH40/2005 Workplace Exposure Limits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CLP Regulation (EC) No 1272/2008 (as retained in UK law)</w:t>
      </w:r>
    </w:p>
    <w:p>
      <w:pPr>
        <w:spacing w:after="0" w:before="480"/>
        <w:jc w:val="center"/>
      </w:pPr>
      <w:r>
        <w:rPr>
          <w:i/>
          <w:iCs/>
          <w:color w:val="595959"/>
          <w:sz w:val="18"/>
          <w:szCs w:val="18"/>
        </w:rPr>
        <w:t xml:space="preserve">This assessment must be reviewed annually or sooner if circumstances change. For the full management-system context (SOPs, Appendices, Audit records) see https://amwaterservices.onyxoperations.co.uk/</w:t>
      </w:r>
    </w:p>
    <w:sectPr>
      <w:headerReference w:type="default" r:id="rId7"/>
      <w:footerReference w:type="default" r:id="rId8"/>
      <w:pgSz w:w="11906" w:h="16838" w:orient="portrait"/>
      <w:pgMar w:top="1700" w:right="1134" w:bottom="1200" w:left="1134" w:header="567" w:footer="567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5f" w:sz="8" w:space="1"/>
      </w:pBdr>
      <w:spacing w:after="60" w:before="0"/>
    </w:pPr>
    <w:r>
      <w:t xml:space="preserve"/>
    </w:r>
  </w:p>
  <w:p>
    <w:pPr>
      <w:tabs>
        <w:tab w:val="right" w:pos="9638"/>
      </w:tabs>
    </w:pPr>
    <w:r>
      <w:rPr>
        <w:color w:val="595959"/>
        <w:sz w:val="16"/>
        <w:szCs w:val="16"/>
      </w:rPr>
      <w:t xml:space="preserve">COSHH_22 — STIHL HP 2-Stroke Engine Oil (100 ml) · Issue 2 · 1 June 2026</w:t>
    </w:r>
    <w:r>
      <w:rPr>
        <w:sz w:val="16"/>
        <w:szCs w:val="16"/>
      </w:rPr>
      <w:t xml:space="preserve">	</w:t>
    </w:r>
    <w:r>
      <w:rPr>
        <w:color w:val="595959"/>
        <w:sz w:val="16"/>
        <w:szCs w:val="16"/>
      </w:rPr>
      <w:t xml:space="preserve">Page </w:t>
    </w:r>
    <w:r>
      <w:rPr>
        <w:color w:val="59595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6"/>
        <w:szCs w:val="16"/>
      </w:rPr>
      <w:t xml:space="preserve"> of </w:t>
    </w:r>
    <w:r>
      <w:rPr>
        <w:color w:val="59595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/>
    </w:pPr>
    <w:r>
      <w:drawing>
        <wp:inline distT="0" distB="0" distL="0" distR="0">
          <wp:extent cx="1276350" cy="485775"/>
          <wp:effectExtent t="0" r="0" b="0" l="0"/>
          <wp:docPr id="1" name="amws-logo" descr="A M Water Services Ltd" title="AM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>
        <w:bottom w:val="single" w:color="1e3a5f" w:sz="12" w:space="1"/>
      </w:pBdr>
      <w:spacing w:after="0" w:before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2b6b118bf66158c8730411d5e7b60704c4e0338.jp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COSHH_22 — STIHL HP 2-Stroke Engine Oil (100 ml)</dc:title>
  <dc:creator>Sean Ashton (Onyx Operations)</dc:creator>
  <dc:description>A M Water Services Ltd — Van Pack COSHH Assessment</dc:description>
  <cp:lastModifiedBy>Un-named</cp:lastModifiedBy>
  <cp:revision>1</cp:revision>
  <dcterms:created xsi:type="dcterms:W3CDTF">2026-05-28T10:42:37.460Z</dcterms:created>
  <dcterms:modified xsi:type="dcterms:W3CDTF">2026-05-28T10:42:37.460Z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