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BP Unleaded Petrol (E10 — 95 RON)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COSHH_23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SDS not available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BP Unleaded Petrol (E10 — 95 RON)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BP Oil UK Ltd (bulk) / Forecourt refuel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Hydrocarbons (C4–C12) + ethanol (≤10%) + additives. Contains **benzene** (&lt; 1% v/v) — CAS: 86290-81-5 (gasoline) · 71-43-2 (benzene) · 64-17-5 (ethanol)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Liquid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Clear liquid, characteristic petroleum odour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Fuel for petrol-powered tools (Stihl disc-cutters, breakers, water pumps)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**Extremely flammable**. Carcinogen Cat 1A (contains benzene). Germ Cell Mutagenicity Cat 1B. Aspiration Cat 1. STOT SE 3. Reproductive Toxicity Cat 2. Aquatic Chronic 2.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 w:val="false"/>
                <w:iCs w:val="false"/>
                <w:sz w:val="20"/>
                <w:szCs w:val="20"/>
              </w:rPr>
              <w:t xml:space="preserve">Danger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Hazard statements (H-codes)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H224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Extremely flammable liquid and vapour.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H304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be fatal if swallowed and enters airways.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H315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Causes skin irritation.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H336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cause drowsiness or dizziness.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H340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cause genetic defects.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H350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cause cancer.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H361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Suspected of damaging fertility or the unborn child.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H411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Toxic to aquatic life with long lasting effects.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Precautionary statements (P-codes)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P201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Obtain special instructions before use.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P210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Keep away from heat, hot surfaces, sparks, open flames and other ignition sources. No smoking.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P240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Ground and bond container and receiving equipment.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P243  </w:t>
            </w:r>
            <w:r>
              <w:rPr>
                <w:i w:val="false"/>
                <w:iCs w:val="false"/>
                <w:sz w:val="18"/>
                <w:szCs w:val="18"/>
              </w:rPr>
              <w:t xml:space="preserve">Take precautionary measures against static discharge.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P280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Wear protective gloves/protective clothing/eye protection/face protection.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P301+310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IF SWALLOWED: Immediately call a POISON CENTRE or doctor/physician.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P331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Do NOT induce vomiting.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P370+378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In case of fire: Use foam, dry powder or CO₂ to extinguish. Do not use water jet.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P403+235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Store in a well-ventilated place. Keep cool.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P405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Store locked up.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P501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Dispose of contents/container to an authorised waste contractor in accordance with local regulations.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GHS pictograms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GHS02 — Flammable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GHS07 — Harmful / irritant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GHS08 — Health hazard (serious)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GHS09 — Environmental hazard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Operatives using petrol-powered tools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Refuelling personnel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Anyone in vicinity of open containers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Inhalation: Vapour may cause dizziness, drowsiness, headache. Benzene is a known human carcinogen — any exposure is to be minimised.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 contact: Defats skin — repeated contact causes dermatitis. Benzene can be absorbed through skin.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 contact: Causes irritation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Ingestion: May be fatal if aspirated into lungs. Systemically toxic.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rPr>
          <w:tblHeader/>
        </w:trP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Substance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8-hr TWA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15-min STEL</w:t>
            </w:r>
          </w:p>
        </w:tc>
      </w:tr>
      <w:t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Petrol vapour (hydrocarbon)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900 mg/m³ (varies — see EH40)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Benzene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1 ppm (3.25 mg/m³)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Ethanol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1000 ppm (1920 mg/m³)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—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**Refuel outdoors or in open air only** — never indoors or in confined space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Use bonded/earthed metal cans (or UN-approved plastic containers) — never glass or non-approved vessels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Keep container upright, tightly closed when not dispensing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Funnel or dispensing nozzle to minimise splashing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No open flames, hot surfaces or ignition sources within 3 m during refuelling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Refuel tools only when cold (allow 5 min cool-down after operation)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Carry max 20 L per van (regulatory limit) in approved containers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Never siphon petrol by mouth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No smoking, no mobile-phone use during refuelling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Engine off during refuelling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Immediate wash-off of any skin contamination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Nitrile gloves (replace if saturated)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Safety glasses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Antistatic footwear advisable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Below 30 °C (ideally below 20 °C)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Dedicated ventilated flammable-storage cabinet or external metal fuel store — segregated from the cab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Ignition sources, heat, direct sunlight, oxidisers, naked flames, static electricity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UN-approved 5–20 L metal can or HSE-approved plastic container only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with water for 15 minutes. Seek medical advice.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Remove contaminated clothing. Wash with soap and water. Seek medical advice if irritation persists.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Move to fresh air immediately. If breathing difficulty or unconsciousness, call 999.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**DO NOT induce vomiting** (aspiration risk). Rinse mouth. Seek immediate medical attention — call 999.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**Eliminate all ignition sources immediately.** Evacuate non-essential personnel. Ventilate area. Absorb with sand or vermiculite (do not use combustible absorbents). Place in sealed metal container labelled 'Petrol-contaminated waste'. Do not release to drains.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**Extremely flammable liquid.** Use foam, dry powder, CO₂ or water spray (fine). **Do not use water jet.** Evacuate and call 999.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Emergency services: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NHS non-emergency: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AMWS supervisor: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HSQE support: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Hazardous waste (EWC 13 07 02*). Dispose via authorised waste-fuel contractor. Contaminated absorbent is also hazardous.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D7D31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FFFFFF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FFFFFF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High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C00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5D4037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5D4037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5D4037"/>
                <w:sz w:val="22"/>
                <w:szCs w:val="22"/>
              </w:rPr>
              <w:t xml:space="preserve">Moderate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 refuelling procedure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Flammable-liquids awareness (DSEAR)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Fire extinguisher use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Spill response — benzene-carrying fuels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First-aid response for inhalation / aspiration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Weekly van-pack visual inspection — containers and labelling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Monthly check of storage-area ventilation and fire-extinguisher status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Annual COSHH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Ongoing health surveillance for operatives with frequent exposure (per APP_08)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EH40/2005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COSHH_23 — BP Unleaded Petrol (E10 — 95 RON)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COSHH_23 — BP Unleaded Petrol (E10 — 95 RON)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2026-05-28T10:42:37.471Z</dcterms:created>
  <dcterms:modified xsi:type="dcterms:W3CDTF">2026-05-28T10:42:37.471Z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