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5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r>
        <w:t>MENTAL HEALTH POLICY</w:t>
      </w:r>
    </w:p>
    <w:p>
      <w:pPr>
        <w:pStyle w:val="Heading2"/>
      </w:pPr>
      <w:bookmarkStart w:id="21" w:name="purpose"/>
      <w:r>
        <w:t xml:space="preserve">Purpose</w:t>
      </w:r>
      <w:bookmarkEnd w:id="21"/>
    </w:p>
    <w:p>
      <w:pPr>
        <w:pStyle w:val="FirstParagraph"/>
      </w:pPr>
      <w:r>
        <w:t xml:space="preserve">A M Water Services Ltd recognises that mental health is as important as physical health. This policy sets out our commitment to creating a workplace where everyone — directors, employees, subcontractors and visitors — can talk about mental wellbeing without stigma, knows where to turn for support, and is not left to struggle alone. It complements</w:t>
      </w:r>
      <w:r>
        <w:t xml:space="preserve"> </w:t>
      </w:r>
      <w:r>
        <w:rPr>
          <w:b/>
        </w:rPr>
        <w:t xml:space="preserve">POL_HSQE_26 Welfare</w:t>
      </w:r>
      <w:r>
        <w:t xml:space="preserve"> </w:t>
      </w:r>
      <w:r>
        <w:t xml:space="preserve">(which addresses welfare provisions) and</w:t>
      </w:r>
      <w:r>
        <w:t xml:space="preserve"> </w:t>
      </w:r>
      <w:r>
        <w:rPr>
          <w:b/>
        </w:rPr>
        <w:t xml:space="preserve">RA_HO_08 Stress &amp; Wellbeing</w:t>
      </w:r>
      <w:r>
        <w:t xml:space="preserve">.</w:t>
      </w:r>
    </w:p>
    <w:p>
      <w:pPr>
        <w:pStyle w:val="Heading2"/>
      </w:pPr>
      <w:bookmarkStart w:id="22" w:name="scope"/>
      <w:r>
        <w:t xml:space="preserve">Scope</w:t>
      </w:r>
      <w:bookmarkEnd w:id="22"/>
    </w:p>
    <w:p>
      <w:pPr>
        <w:pStyle w:val="FirstParagraph"/>
      </w:pPr>
      <w:r>
        <w:t xml:space="preserve">This policy applies to all employees, directors, labour-supply subcontractors and visitors to A M Water Services Ltd premises and sites, covering all work activities including water main installations, self-lay schemes, grab operations, emergency call-out work, lone working and office-based activities at our Northampton headquarters.</w:t>
      </w:r>
    </w:p>
    <w:p>
      <w:pPr>
        <w:pStyle w:val="Heading2"/>
      </w:pPr>
      <w:bookmarkStart w:id="23" w:name="legal-requirements"/>
      <w:r>
        <w:t xml:space="preserve">Legal Requirements</w:t>
      </w:r>
      <w:bookmarkEnd w:id="23"/>
    </w:p>
    <w:p>
      <w:pPr>
        <w:pStyle w:val="FirstParagraph"/>
      </w:pPr>
      <w:r>
        <w:t xml:space="preserve">This policy supports our duties under the</w:t>
      </w:r>
      <w:r>
        <w:t xml:space="preserve"> </w:t>
      </w:r>
      <w:r>
        <w:rPr>
          <w:b/>
        </w:rPr>
        <w:t xml:space="preserve">Health and Safety at Work Act 1974</w:t>
      </w:r>
      <w:r>
        <w:t xml:space="preserve"> </w:t>
      </w:r>
      <w:r>
        <w:t xml:space="preserve">(sections 2 and 3), the</w:t>
      </w:r>
      <w:r>
        <w:t xml:space="preserve"> </w:t>
      </w:r>
      <w:r>
        <w:rPr>
          <w:b/>
        </w:rPr>
        <w:t xml:space="preserve">Management of Health and Safety at Work Regulations 1999</w:t>
      </w:r>
      <w:r>
        <w:t xml:space="preserve"> </w:t>
      </w:r>
      <w:r>
        <w:t xml:space="preserve">(regulation 3 — risk assessment) and the</w:t>
      </w:r>
      <w:r>
        <w:t xml:space="preserve"> </w:t>
      </w:r>
      <w:r>
        <w:rPr>
          <w:b/>
        </w:rPr>
        <w:t xml:space="preserve">Equality Act 2010</w:t>
      </w:r>
      <w:r>
        <w:t xml:space="preserve"> </w:t>
      </w:r>
      <w:r>
        <w:t xml:space="preserve">(mental-health conditions can amount to a disability for which reasonable adjustments must be considered).</w:t>
      </w:r>
    </w:p>
    <w:p>
      <w:pPr>
        <w:pStyle w:val="Heading2"/>
      </w:pPr>
      <w:bookmarkStart w:id="24" w:name="policy-statement"/>
      <w:r>
        <w:t xml:space="preserve">Policy Statement</w:t>
      </w:r>
      <w:bookmarkEnd w:id="24"/>
    </w:p>
    <w:p>
      <w:pPr>
        <w:pStyle w:val="FirstParagraph"/>
      </w:pPr>
      <w:r>
        <w:t xml:space="preserve">A M Water Services Ltd commits to:</w:t>
      </w:r>
    </w:p>
    <w:p>
      <w:pPr>
        <w:numPr>
          <w:ilvl w:val="0"/>
          <w:numId w:val="1001"/>
        </w:numPr>
        <w:pStyle w:val="ListParagraph"/>
      </w:pPr>
      <w:r>
        <w:rPr>
          <w:b/>
        </w:rPr>
        <w:t xml:space="preserve">Treating mental health on a par with physical health</w:t>
      </w:r>
      <w:r>
        <w:t xml:space="preserve"> </w:t>
      </w:r>
      <w:r>
        <w:t xml:space="preserve">— the same duty of care, the same conversations, the same willingness to make adjustments.</w:t>
      </w:r>
    </w:p>
    <w:p>
      <w:pPr>
        <w:numPr>
          <w:ilvl w:val="0"/>
          <w:numId w:val="1001"/>
        </w:numPr>
        <w:pStyle w:val="ListParagraph"/>
      </w:pPr>
      <w:r>
        <w:rPr>
          <w:b/>
        </w:rPr>
        <w:t xml:space="preserve">Reducing stigma</w:t>
      </w:r>
      <w:r>
        <w:t xml:space="preserve"> </w:t>
      </w:r>
      <w:r>
        <w:t xml:space="preserve">— talking openly about mental health is encouraged at all levels, starting with the Directors.</w:t>
      </w:r>
    </w:p>
    <w:p>
      <w:pPr>
        <w:numPr>
          <w:ilvl w:val="0"/>
          <w:numId w:val="1001"/>
        </w:numPr>
        <w:pStyle w:val="ListParagraph"/>
      </w:pPr>
      <w:r>
        <w:rPr>
          <w:b/>
        </w:rPr>
        <w:t xml:space="preserve">Identifying risk</w:t>
      </w:r>
      <w:r>
        <w:t xml:space="preserve"> </w:t>
      </w:r>
      <w:r>
        <w:t xml:space="preserve">— work-related stress is risk-assessed in</w:t>
      </w:r>
      <w:r>
        <w:t xml:space="preserve"> </w:t>
      </w:r>
      <w:r>
        <w:rPr>
          <w:b/>
        </w:rPr>
        <w:t xml:space="preserve">RA_HO_08 Stress &amp; Wellbeing</w:t>
      </w:r>
      <w:r>
        <w:t xml:space="preserve"> </w:t>
      </w:r>
      <w:r>
        <w:t xml:space="preserve">and revisited at each Management Review.</w:t>
      </w:r>
    </w:p>
    <w:p>
      <w:pPr>
        <w:numPr>
          <w:ilvl w:val="0"/>
          <w:numId w:val="1001"/>
        </w:numPr>
        <w:pStyle w:val="ListParagraph"/>
      </w:pPr>
      <w:r>
        <w:rPr>
          <w:b/>
        </w:rPr>
        <w:t xml:space="preserve">Providing support</w:t>
      </w:r>
      <w:r>
        <w:t xml:space="preserve"> </w:t>
      </w:r>
      <w:r>
        <w:t xml:space="preserve">— Mental Health First Aiders (MHFAs) are accessible, signposting routes are clear, and time off for mental-health appointments is treated like any other medical appointment.</w:t>
      </w:r>
    </w:p>
    <w:p>
      <w:pPr>
        <w:numPr>
          <w:ilvl w:val="0"/>
          <w:numId w:val="1001"/>
        </w:numPr>
        <w:pStyle w:val="ListParagraph"/>
      </w:pPr>
      <w:r>
        <w:rPr>
          <w:b/>
        </w:rPr>
        <w:t xml:space="preserve">Acting on what we learn</w:t>
      </w:r>
      <w:r>
        <w:t xml:space="preserve"> </w:t>
      </w:r>
      <w:r>
        <w:t xml:space="preserve">— incidents involving mental health, near-misses linked to fatigue or stress, and patterns of absence are reviewed and inform RA / TBT updates.</w:t>
      </w:r>
    </w:p>
    <w:p>
      <w:pPr>
        <w:pStyle w:val="Heading2"/>
      </w:pPr>
      <w:bookmarkStart w:id="25" w:name="X5b468a6898468bc0cfbf0e31d1e7f319f54bebb"/>
      <w:r>
        <w:t xml:space="preserve">Mental Health First Aid (MHFA) cover at AMWS</w:t>
      </w:r>
      <w:bookmarkEnd w:id="25"/>
    </w:p>
    <w:tbl>
      <w:tblPr>
        <w:tblW w:type="dxa" w:w="9360"/>
        <w:tblLook w:firstRow="1"/>
        <w:tblBorders>
          <w:top w:val="single" w:sz="4" w:space="0" w:color="AAAAAA"/>
          <w:left w:val="single" w:sz="4" w:space="0" w:color="AAAAAA"/>
          <w:bottom w:val="single" w:sz="4" w:space="0" w:color="AAAAAA"/>
          <w:right w:val="single" w:sz="4" w:space="0" w:color="AAAAAA"/>
          <w:insideH w:val="single" w:sz="4" w:space="0" w:color="AAAAAA"/>
          <w:insideV w:val="single" w:sz="4" w:space="0" w:color="AAAAAA"/>
        </w:tblBorders>
      </w:tblPr>
      <w:tblGrid>
        <w:gridCol w:w="3120"/>
        <w:gridCol w:w="3120"/>
        <w:gridCol w:w="3120"/>
      </w:tblGrid>
      <w:tr>
        <w:trPr>
          <w:cnfStyle w:firstRow="1"/>
        </w:trPr>
        <w:tc>
          <w:tcPr>
            <w:tcBorders>
              <w:bottom w:val="single"/>
            </w:tcBorders>
            <w:vAlign w:val="bottom"/>
            <w:tcW w:type="dxa" w:w="3120"/>
          </w:tcPr>
          <w:p>
            <w:pPr>
              <w:jc w:val="left"/>
            </w:pPr>
            <w:r>
              <w:t xml:space="preserve">Role</w:t>
            </w:r>
          </w:p>
        </w:tc>
        <w:tc>
          <w:tcPr>
            <w:tcBorders>
              <w:bottom w:val="single"/>
            </w:tcBorders>
            <w:vAlign w:val="bottom"/>
            <w:tcW w:type="dxa" w:w="3120"/>
          </w:tcPr>
          <w:p>
            <w:pPr>
              <w:jc w:val="left"/>
            </w:pPr>
            <w:r>
              <w:t xml:space="preserve">Trained MHFA</w:t>
            </w:r>
          </w:p>
        </w:tc>
        <w:tc>
          <w:tcPr>
            <w:tcBorders>
              <w:bottom w:val="single"/>
            </w:tcBorders>
            <w:vAlign w:val="bottom"/>
            <w:tcW w:type="dxa" w:w="3120"/>
          </w:tcPr>
          <w:p>
            <w:pPr>
              <w:jc w:val="left"/>
            </w:pPr>
            <w:r>
              <w:t xml:space="preserve">Notes</w:t>
            </w:r>
          </w:p>
        </w:tc>
      </w:tr>
      <w:tr>
        <w:tc>
          <w:tcPr>
            <w:tcW w:type="dxa" w:w="3120"/>
          </w:tcPr>
          <w:p>
            <w:pPr>
              <w:jc w:val="left"/>
            </w:pPr>
            <w:r>
              <w:t xml:space="preserve">Site Supervisor</w:t>
            </w:r>
          </w:p>
        </w:tc>
        <w:tc>
          <w:tcPr>
            <w:tcW w:type="dxa" w:w="3120"/>
          </w:tcPr>
          <w:p>
            <w:pPr>
              <w:jc w:val="left"/>
            </w:pPr>
            <w:r>
              <w:rPr>
                <w:b/>
              </w:rPr>
              <w:t xml:space="preserve">Jason May</w:t>
            </w:r>
          </w:p>
        </w:tc>
        <w:tc>
          <w:tcPr>
            <w:tcW w:type="dxa" w:w="3120"/>
          </w:tcPr>
          <w:p>
            <w:pPr>
              <w:jc w:val="left"/>
            </w:pPr>
            <w:r>
              <w:t xml:space="preserve">Trained 2024; refresher due 2027</w:t>
            </w:r>
          </w:p>
        </w:tc>
      </w:tr>
      <w:tr>
        <w:tc>
          <w:tcPr>
            <w:tcW w:type="dxa" w:w="3120"/>
          </w:tcPr>
          <w:p>
            <w:pPr>
              <w:jc w:val="left"/>
            </w:pPr>
            <w:r>
              <w:t xml:space="preserve">Director — HR/Admin</w:t>
            </w:r>
          </w:p>
        </w:tc>
        <w:tc>
          <w:tcPr>
            <w:tcW w:type="dxa" w:w="3120"/>
          </w:tcPr>
          <w:p>
            <w:pPr>
              <w:jc w:val="left"/>
            </w:pPr>
            <w:r>
              <w:rPr>
                <w:b/>
              </w:rPr>
              <w:t xml:space="preserve">Leanne Mason</w:t>
            </w:r>
          </w:p>
        </w:tc>
        <w:tc>
          <w:tcPr>
            <w:tcW w:type="dxa" w:w="3120"/>
          </w:tcPr>
          <w:p>
            <w:pPr>
              <w:jc w:val="left"/>
            </w:pPr>
            <w:r>
              <w:t xml:space="preserve">Trained 2024; refresher due 2027</w:t>
            </w:r>
          </w:p>
        </w:tc>
      </w:tr>
    </w:tbl>
    <w:p>
      <w:pPr>
        <w:pStyle w:val="BodyText"/>
      </w:pPr>
      <w:r>
        <w:t xml:space="preserve">Either MHFA can be approached confidentially, in person or by phone, by any AMWS worker. The MHFA’s role is to listen non-judgmentally, signpost to professional support, and (with consent) help the worker access workplace adjustments where appropriate.</w:t>
      </w:r>
    </w:p>
    <w:p>
      <w:pPr>
        <w:pStyle w:val="Heading2"/>
      </w:pPr>
      <w:bookmarkStart w:id="26" w:name="signposting-routes"/>
      <w:r>
        <w:t xml:space="preserve">Signposting routes</w:t>
      </w:r>
      <w:bookmarkEnd w:id="26"/>
    </w:p>
    <w:tbl>
      <w:tblPr>
        <w:tblW w:type="dxa" w:w="9360"/>
        <w:tblLook w:firstRow="1"/>
        <w:tblBorders>
          <w:top w:val="single" w:sz="4" w:space="0" w:color="AAAAAA"/>
          <w:left w:val="single" w:sz="4" w:space="0" w:color="AAAAAA"/>
          <w:bottom w:val="single" w:sz="4" w:space="0" w:color="AAAAAA"/>
          <w:right w:val="single" w:sz="4" w:space="0" w:color="AAAAAA"/>
          <w:insideH w:val="single" w:sz="4" w:space="0" w:color="AAAAAA"/>
          <w:insideV w:val="single" w:sz="4" w:space="0" w:color="AAAAAA"/>
        </w:tblBorders>
      </w:tblPr>
      <w:tblGrid>
        <w:gridCol w:w="3120"/>
        <w:gridCol w:w="3120"/>
        <w:gridCol w:w="3120"/>
      </w:tblGrid>
      <w:tr>
        <w:trPr>
          <w:cnfStyle w:firstRow="1"/>
        </w:trPr>
        <w:tc>
          <w:tcPr>
            <w:tcBorders>
              <w:bottom w:val="single"/>
            </w:tcBorders>
            <w:vAlign w:val="bottom"/>
            <w:tcW w:type="dxa" w:w="3120"/>
          </w:tcPr>
          <w:p>
            <w:pPr>
              <w:jc w:val="left"/>
            </w:pPr>
            <w:r>
              <w:t xml:space="preserve">Concern</w:t>
            </w:r>
          </w:p>
        </w:tc>
        <w:tc>
          <w:tcPr>
            <w:tcBorders>
              <w:bottom w:val="single"/>
            </w:tcBorders>
            <w:vAlign w:val="bottom"/>
            <w:tcW w:type="dxa" w:w="3120"/>
          </w:tcPr>
          <w:p>
            <w:pPr>
              <w:jc w:val="left"/>
            </w:pPr>
            <w:r>
              <w:t xml:space="preserve">First port of call</w:t>
            </w:r>
          </w:p>
        </w:tc>
        <w:tc>
          <w:tcPr>
            <w:tcBorders>
              <w:bottom w:val="single"/>
            </w:tcBorders>
            <w:vAlign w:val="bottom"/>
            <w:tcW w:type="dxa" w:w="3120"/>
          </w:tcPr>
          <w:p>
            <w:pPr>
              <w:jc w:val="left"/>
            </w:pPr>
            <w:r>
              <w:t xml:space="preserve">Backup</w:t>
            </w:r>
          </w:p>
        </w:tc>
      </w:tr>
      <w:tr>
        <w:tc>
          <w:tcPr>
            <w:tcW w:type="dxa" w:w="3120"/>
          </w:tcPr>
          <w:p>
            <w:pPr>
              <w:jc w:val="left"/>
            </w:pPr>
            <w:r>
              <w:t xml:space="preserve">Day-to-day work stress / workload</w:t>
            </w:r>
          </w:p>
        </w:tc>
        <w:tc>
          <w:tcPr>
            <w:tcW w:type="dxa" w:w="3120"/>
          </w:tcPr>
          <w:p>
            <w:pPr>
              <w:jc w:val="left"/>
            </w:pPr>
            <w:r>
              <w:t xml:space="preserve">Site Supervisor (Jason May)</w:t>
            </w:r>
          </w:p>
        </w:tc>
        <w:tc>
          <w:tcPr>
            <w:tcW w:type="dxa" w:w="3120"/>
          </w:tcPr>
          <w:p>
            <w:pPr>
              <w:jc w:val="left"/>
            </w:pPr>
            <w:r>
              <w:t xml:space="preserve">Director (Leanne Mason)</w:t>
            </w:r>
          </w:p>
        </w:tc>
      </w:tr>
      <w:tr>
        <w:tc>
          <w:tcPr>
            <w:tcW w:type="dxa" w:w="3120"/>
          </w:tcPr>
          <w:p>
            <w:pPr>
              <w:jc w:val="left"/>
            </w:pPr>
            <w:r>
              <w:t xml:space="preserve">Personal mental-health crisis</w:t>
            </w:r>
          </w:p>
        </w:tc>
        <w:tc>
          <w:tcPr>
            <w:tcW w:type="dxa" w:w="3120"/>
          </w:tcPr>
          <w:p>
            <w:pPr>
              <w:jc w:val="left"/>
            </w:pPr>
            <w:r>
              <w:t xml:space="preserve">Trained MHFA (Jason or Leanne)</w:t>
            </w:r>
          </w:p>
        </w:tc>
        <w:tc>
          <w:tcPr>
            <w:tcW w:type="dxa" w:w="3120"/>
          </w:tcPr>
          <w:p>
            <w:pPr>
              <w:jc w:val="left"/>
            </w:pPr>
            <w:r>
              <w:t xml:space="preserve">Samaritans 116 123 (24/7, free)</w:t>
            </w:r>
          </w:p>
        </w:tc>
      </w:tr>
      <w:tr>
        <w:tc>
          <w:tcPr>
            <w:tcW w:type="dxa" w:w="3120"/>
          </w:tcPr>
          <w:p>
            <w:pPr>
              <w:jc w:val="left"/>
            </w:pPr>
            <w:r>
              <w:t xml:space="preserve">Bereavement, family events</w:t>
            </w:r>
          </w:p>
        </w:tc>
        <w:tc>
          <w:tcPr>
            <w:tcW w:type="dxa" w:w="3120"/>
          </w:tcPr>
          <w:p>
            <w:pPr>
              <w:jc w:val="left"/>
            </w:pPr>
            <w:r>
              <w:t xml:space="preserve">Director (Leanne Mason)</w:t>
            </w:r>
          </w:p>
        </w:tc>
        <w:tc>
          <w:tcPr>
            <w:tcW w:type="dxa" w:w="3120"/>
          </w:tcPr>
          <w:p>
            <w:pPr>
              <w:jc w:val="left"/>
            </w:pPr>
            <w:r>
              <w:t xml:space="preserve">MHFA support</w:t>
            </w:r>
          </w:p>
        </w:tc>
      </w:tr>
      <w:tr>
        <w:tc>
          <w:tcPr>
            <w:tcW w:type="dxa" w:w="3120"/>
          </w:tcPr>
          <w:p>
            <w:pPr>
              <w:jc w:val="left"/>
            </w:pPr>
            <w:r>
              <w:t xml:space="preserve">Substance use / dependency</w:t>
            </w:r>
          </w:p>
        </w:tc>
        <w:tc>
          <w:tcPr>
            <w:tcW w:type="dxa" w:w="3120"/>
          </w:tcPr>
          <w:p>
            <w:pPr>
              <w:jc w:val="left"/>
            </w:pPr>
            <w:r>
              <w:t xml:space="preserve">Director (Aaron Mason) under POL_HSQE_02 Alcohol &amp; Drugs</w:t>
            </w:r>
          </w:p>
        </w:tc>
        <w:tc>
          <w:tcPr>
            <w:tcW w:type="dxa" w:w="3120"/>
          </w:tcPr>
          <w:p>
            <w:pPr>
              <w:jc w:val="left"/>
            </w:pPr>
            <w:r>
              <w:t xml:space="preserve">GP, Frank (talktofrank.com)</w:t>
            </w:r>
          </w:p>
        </w:tc>
      </w:tr>
      <w:tr>
        <w:tc>
          <w:tcPr>
            <w:tcW w:type="dxa" w:w="3120"/>
          </w:tcPr>
          <w:p>
            <w:pPr>
              <w:jc w:val="left"/>
            </w:pPr>
            <w:r>
              <w:t xml:space="preserve">Suicidal thoughts</w:t>
            </w:r>
          </w:p>
        </w:tc>
        <w:tc>
          <w:tcPr>
            <w:tcW w:type="dxa" w:w="3120"/>
          </w:tcPr>
          <w:p>
            <w:pPr>
              <w:jc w:val="left"/>
            </w:pPr>
            <w:r>
              <w:t xml:space="preserve">Samaritans 116 123 (24/7)</w:t>
            </w:r>
          </w:p>
        </w:tc>
        <w:tc>
          <w:tcPr>
            <w:tcW w:type="dxa" w:w="3120"/>
          </w:tcPr>
          <w:p>
            <w:pPr>
              <w:jc w:val="left"/>
            </w:pPr>
            <w:r>
              <w:t xml:space="preserve">A&amp;E or call 999 in immediate crisis</w:t>
            </w:r>
          </w:p>
        </w:tc>
      </w:tr>
      <w:tr>
        <w:tc>
          <w:tcPr>
            <w:tcW w:type="dxa" w:w="3120"/>
          </w:tcPr>
          <w:p>
            <w:pPr>
              <w:jc w:val="left"/>
            </w:pPr>
            <w:r>
              <w:t xml:space="preserve">GP-route support</w:t>
            </w:r>
          </w:p>
        </w:tc>
        <w:tc>
          <w:tcPr>
            <w:tcW w:type="dxa" w:w="3120"/>
          </w:tcPr>
          <w:p>
            <w:pPr>
              <w:jc w:val="left"/>
            </w:pPr>
            <w:r>
              <w:t xml:space="preserve">Worker’s own GP</w:t>
            </w:r>
          </w:p>
        </w:tc>
        <w:tc>
          <w:tcPr>
            <w:tcW w:type="dxa" w:w="3120"/>
          </w:tcPr>
          <w:p>
            <w:pPr>
              <w:jc w:val="left"/>
            </w:pPr>
            <w:r>
              <w:t xml:space="preserve">Self-refer NHS Talking Therapies (online)</w:t>
            </w:r>
          </w:p>
        </w:tc>
      </w:tr>
    </w:tbl>
    <w:p>
      <w:pPr>
        <w:pStyle w:val="BodyText"/>
      </w:pPr>
      <w:r>
        <w:t xml:space="preserve">Each AMWS van pack carries a credit-card-sized signposting card with the same information.</w:t>
      </w:r>
    </w:p>
    <w:p>
      <w:pPr>
        <w:pStyle w:val="Heading2"/>
      </w:pPr>
      <w:bookmarkStart w:id="27" w:name="reasonable-adjustments"/>
      <w:r>
        <w:t xml:space="preserve">Reasonable adjustments</w:t>
      </w:r>
      <w:bookmarkEnd w:id="27"/>
    </w:p>
    <w:p>
      <w:pPr>
        <w:pStyle w:val="FirstParagraph"/>
      </w:pPr>
      <w:r>
        <w:t xml:space="preserve">When a worker discloses a mental-health condition (in confidence to a Director or MHFA), AMWS commits to:</w:t>
      </w:r>
    </w:p>
    <w:p>
      <w:pPr>
        <w:numPr>
          <w:ilvl w:val="0"/>
          <w:numId w:val="1002"/>
        </w:numPr>
        <w:pStyle w:val="ListParagraph"/>
      </w:pPr>
      <w:r>
        <w:t xml:space="preserve">Discussing what’s getting in the way of work</w:t>
      </w:r>
    </w:p>
    <w:p>
      <w:pPr>
        <w:numPr>
          <w:ilvl w:val="0"/>
          <w:numId w:val="1002"/>
        </w:numPr>
        <w:pStyle w:val="ListParagraph"/>
      </w:pPr>
      <w:r>
        <w:t xml:space="preserve">Considering practical adjustments — reduced hours, flexible start times, temporary withdrawal from on-call rotation, reduced travel, change of pairing on site</w:t>
      </w:r>
    </w:p>
    <w:p>
      <w:pPr>
        <w:numPr>
          <w:ilvl w:val="0"/>
          <w:numId w:val="1002"/>
        </w:numPr>
        <w:pStyle w:val="ListParagraph"/>
      </w:pPr>
      <w:r>
        <w:t xml:space="preserve">Reviewing the agreement at agreed intervals</w:t>
      </w:r>
    </w:p>
    <w:p>
      <w:pPr>
        <w:numPr>
          <w:ilvl w:val="0"/>
          <w:numId w:val="1002"/>
        </w:numPr>
        <w:pStyle w:val="ListParagraph"/>
      </w:pPr>
      <w:r>
        <w:t xml:space="preserve">Documenting the agreement only with the worker’s consent (kept confidentially in the HR file)</w:t>
      </w:r>
    </w:p>
    <w:p>
      <w:pPr>
        <w:pStyle w:val="Heading2"/>
      </w:pPr>
      <w:bookmarkStart w:id="28" w:name="X628a8b083440aad38b20537cf144dff624147e7"/>
      <w:r>
        <w:t xml:space="preserve">Employee Assistance Programme (EAP) — under decision</w:t>
      </w:r>
      <w:bookmarkEnd w:id="28"/>
    </w:p>
    <w:p>
      <w:pPr>
        <w:pStyle w:val="FirstParagraph"/>
      </w:pPr>
      <w:r>
        <w:t xml:space="preserve">An EAP would provide all AMWS workers with confidential 24/7 telephone counselling, structured short-term therapy, and legal/financial guidance, typically for £5–15 per employee per month with providers such as Health Assured, Vitality, or Hospital Saturday Fund.</w:t>
      </w:r>
    </w:p>
    <w:p>
      <w:pPr>
        <w:pStyle w:val="BodyText"/>
      </w:pPr>
      <w:r>
        <w:rPr>
          <w:b/>
        </w:rPr>
        <w:t xml:space="preserve">Decision pending</w:t>
      </w:r>
      <w:r>
        <w:t xml:space="preserve"> </w:t>
      </w:r>
      <w:r>
        <w:t xml:space="preserve">with the Managing Director (gap-closure tracker item #13). One of:</w:t>
      </w:r>
    </w:p>
    <w:p>
      <w:pPr>
        <w:numPr>
          <w:ilvl w:val="0"/>
          <w:numId w:val="1003"/>
        </w:numPr>
        <w:pStyle w:val="ListParagraph"/>
      </w:pPr>
      <w:r>
        <w:rPr>
          <w:b/>
        </w:rPr>
        <w:t xml:space="preserve">Option A:</w:t>
      </w:r>
      <w:r>
        <w:t xml:space="preserve"> </w:t>
      </w:r>
      <w:r>
        <w:t xml:space="preserve">Enrol in a low-cost EAP — extends support beyond the in-house MHFA cover.</w:t>
      </w:r>
    </w:p>
    <w:p>
      <w:pPr>
        <w:numPr>
          <w:ilvl w:val="0"/>
          <w:numId w:val="1003"/>
        </w:numPr>
        <w:pStyle w:val="ListParagraph"/>
      </w:pPr>
      <w:r>
        <w:rPr>
          <w:b/>
        </w:rPr>
        <w:t xml:space="preserve">Option B:</w:t>
      </w:r>
      <w:r>
        <w:t xml:space="preserve"> </w:t>
      </w:r>
      <w:r>
        <w:t xml:space="preserve">Document a rationale for not having one — e.g. small team size, MHFA cover already providing first-line support, NHS Talking Therapies route signposted.</w:t>
      </w:r>
    </w:p>
    <w:p>
      <w:pPr>
        <w:pStyle w:val="FirstParagraph"/>
      </w:pPr>
      <w:r>
        <w:t xml:space="preserve">The decision and the rationale will be recorded in the next Management Review (SOP 6.4) and reflected back into this policy at next revision.</w:t>
      </w:r>
    </w:p>
    <w:p>
      <w:pPr>
        <w:pStyle w:val="Heading2"/>
      </w:pPr>
      <w:bookmarkStart w:id="29" w:name="connection-to-other-amws-controls"/>
      <w:r>
        <w:t xml:space="preserve">Connection to other AMWS controls</w:t>
      </w:r>
      <w:bookmarkEnd w:id="29"/>
    </w:p>
    <w:tbl>
      <w:tblPr>
        <w:tblW w:type="dxa" w:w="9360"/>
        <w:tblLook w:firstRow="1"/>
        <w:tblBorders>
          <w:top w:val="single" w:sz="4" w:space="0" w:color="AAAAAA"/>
          <w:left w:val="single" w:sz="4" w:space="0" w:color="AAAAAA"/>
          <w:bottom w:val="single" w:sz="4" w:space="0" w:color="AAAAAA"/>
          <w:right w:val="single" w:sz="4" w:space="0" w:color="AAAAAA"/>
          <w:insideH w:val="single" w:sz="4" w:space="0" w:color="AAAAAA"/>
          <w:insideV w:val="single" w:sz="4" w:space="0" w:color="AAAAAA"/>
        </w:tblBorders>
      </w:tblPr>
      <w:tblGrid>
        <w:gridCol w:w="4680"/>
        <w:gridCol w:w="4680"/>
      </w:tblGrid>
      <w:tr>
        <w:trPr>
          <w:cnfStyle w:firstRow="1"/>
        </w:trPr>
        <w:tc>
          <w:tcPr>
            <w:tcBorders>
              <w:bottom w:val="single"/>
            </w:tcBorders>
            <w:vAlign w:val="bottom"/>
            <w:tcW w:type="dxa" w:w="4680"/>
          </w:tcPr>
          <w:p>
            <w:pPr>
              <w:jc w:val="left"/>
            </w:pPr>
            <w:r>
              <w:t xml:space="preserve">Linked control</w:t>
            </w:r>
          </w:p>
        </w:tc>
        <w:tc>
          <w:tcPr>
            <w:tcBorders>
              <w:bottom w:val="single"/>
            </w:tcBorders>
            <w:vAlign w:val="bottom"/>
            <w:tcW w:type="dxa" w:w="4680"/>
          </w:tcPr>
          <w:p>
            <w:pPr>
              <w:jc w:val="left"/>
            </w:pPr>
            <w:r>
              <w:t xml:space="preserve">Purpose</w:t>
            </w:r>
          </w:p>
        </w:tc>
      </w:tr>
      <w:tr>
        <w:tc>
          <w:tcPr>
            <w:tcW w:type="dxa" w:w="4680"/>
          </w:tcPr>
          <w:p>
            <w:pPr>
              <w:jc w:val="left"/>
            </w:pPr>
            <w:hyperlink r:id="rId30">
              <w:r>
                <w:rPr>
                  <w:rStyle w:val="Hyperlink"/>
                </w:rPr>
                <w:t xml:space="preserve">POL_HSQE_26 — Welfare Policy</w:t>
              </w:r>
            </w:hyperlink>
          </w:p>
        </w:tc>
        <w:tc>
          <w:tcPr>
            <w:tcW w:type="dxa" w:w="4680"/>
          </w:tcPr>
          <w:p>
            <w:pPr>
              <w:jc w:val="left"/>
            </w:pPr>
            <w:r>
              <w:t xml:space="preserve">Physical welfare provisions, on-site facilities</w:t>
            </w:r>
          </w:p>
        </w:tc>
      </w:tr>
      <w:tr>
        <w:tc>
          <w:tcPr>
            <w:tcW w:type="dxa" w:w="4680"/>
          </w:tcPr>
          <w:p>
            <w:pPr>
              <w:jc w:val="left"/>
            </w:pPr>
            <w:hyperlink r:id="rId31">
              <w:r>
                <w:rPr>
                  <w:rStyle w:val="Hyperlink"/>
                </w:rPr>
                <w:t xml:space="preserve">POL_HSQE_02 — Alcohol &amp; Drugs</w:t>
              </w:r>
            </w:hyperlink>
          </w:p>
        </w:tc>
        <w:tc>
          <w:tcPr>
            <w:tcW w:type="dxa" w:w="4680"/>
          </w:tcPr>
          <w:p>
            <w:pPr>
              <w:jc w:val="left"/>
            </w:pPr>
            <w:r>
              <w:t xml:space="preserve">Substance-use pathway is part of the wellbeing picture</w:t>
            </w:r>
          </w:p>
        </w:tc>
      </w:tr>
      <w:tr>
        <w:tc>
          <w:tcPr>
            <w:tcW w:type="dxa" w:w="4680"/>
          </w:tcPr>
          <w:p>
            <w:pPr>
              <w:jc w:val="left"/>
            </w:pPr>
            <w:hyperlink r:id="rId32">
              <w:r>
                <w:rPr>
                  <w:rStyle w:val="Hyperlink"/>
                </w:rPr>
                <w:t xml:space="preserve">POL_HSQE_15 — Grievance</w:t>
              </w:r>
            </w:hyperlink>
          </w:p>
        </w:tc>
        <w:tc>
          <w:tcPr>
            <w:tcW w:type="dxa" w:w="4680"/>
          </w:tcPr>
          <w:p>
            <w:pPr>
              <w:jc w:val="left"/>
            </w:pPr>
            <w:r>
              <w:t xml:space="preserve">Channel for workplace concerns including bullying / harassment</w:t>
            </w:r>
          </w:p>
        </w:tc>
      </w:tr>
      <w:tr>
        <w:tc>
          <w:tcPr>
            <w:tcW w:type="dxa" w:w="4680"/>
          </w:tcPr>
          <w:p>
            <w:pPr>
              <w:jc w:val="left"/>
            </w:pPr>
            <w:hyperlink r:id="rId33">
              <w:r>
                <w:rPr>
                  <w:rStyle w:val="Hyperlink"/>
                </w:rPr>
                <w:t xml:space="preserve">POL_HSQE_05 — Anti-Bullying &amp; Harassment</w:t>
              </w:r>
            </w:hyperlink>
          </w:p>
        </w:tc>
        <w:tc>
          <w:tcPr>
            <w:tcW w:type="dxa" w:w="4680"/>
          </w:tcPr>
          <w:p>
            <w:pPr>
              <w:jc w:val="left"/>
            </w:pPr>
            <w:r>
              <w:t xml:space="preserve">Mental-health risk factor — addressed in its own policy</w:t>
            </w:r>
          </w:p>
        </w:tc>
      </w:tr>
      <w:tr>
        <w:tc>
          <w:tcPr>
            <w:tcW w:type="dxa" w:w="4680"/>
          </w:tcPr>
          <w:p>
            <w:pPr>
              <w:jc w:val="left"/>
            </w:pPr>
            <w:hyperlink r:id="rId34">
              <w:r>
                <w:rPr>
                  <w:rStyle w:val="Hyperlink"/>
                </w:rPr>
                <w:t xml:space="preserve">POL_HSQE_27 — Whistleblowing</w:t>
              </w:r>
            </w:hyperlink>
          </w:p>
        </w:tc>
        <w:tc>
          <w:tcPr>
            <w:tcW w:type="dxa" w:w="4680"/>
          </w:tcPr>
          <w:p>
            <w:pPr>
              <w:jc w:val="left"/>
            </w:pPr>
            <w:r>
              <w:t xml:space="preserve">Confidential channel where formal grievance is not appropriate</w:t>
            </w:r>
          </w:p>
        </w:tc>
      </w:tr>
      <w:tr>
        <w:tc>
          <w:tcPr>
            <w:tcW w:type="dxa" w:w="4680"/>
          </w:tcPr>
          <w:p>
            <w:pPr>
              <w:jc w:val="left"/>
            </w:pPr>
            <w:hyperlink r:id="rId35">
              <w:r>
                <w:rPr>
                  <w:rStyle w:val="Hyperlink"/>
                </w:rPr>
                <w:t xml:space="preserve">RA_HO_08 — Stress &amp; Wellbeing</w:t>
              </w:r>
            </w:hyperlink>
          </w:p>
        </w:tc>
        <w:tc>
          <w:tcPr>
            <w:tcW w:type="dxa" w:w="4680"/>
          </w:tcPr>
          <w:p>
            <w:pPr>
              <w:jc w:val="left"/>
            </w:pPr>
            <w:r>
              <w:t xml:space="preserve">Risk assessment for work-related stress</w:t>
            </w:r>
          </w:p>
        </w:tc>
      </w:tr>
      <w:tr>
        <w:tc>
          <w:tcPr>
            <w:tcW w:type="dxa" w:w="4680"/>
          </w:tcPr>
          <w:p>
            <w:pPr>
              <w:jc w:val="left"/>
            </w:pPr>
            <w:hyperlink r:id="rId36">
              <w:r>
                <w:rPr>
                  <w:rStyle w:val="Hyperlink"/>
                </w:rPr>
                <w:t xml:space="preserve">RA_HO_18 — Fatigue Management</w:t>
              </w:r>
            </w:hyperlink>
          </w:p>
        </w:tc>
        <w:tc>
          <w:tcPr>
            <w:tcW w:type="dxa" w:w="4680"/>
          </w:tcPr>
          <w:p>
            <w:pPr>
              <w:jc w:val="left"/>
            </w:pPr>
            <w:r>
              <w:t xml:space="preserve">Fatigue is a mental-health risk factor</w:t>
            </w:r>
          </w:p>
        </w:tc>
      </w:tr>
    </w:tbl>
    <w:p>
      <w:pPr>
        <w:pStyle w:val="Heading2"/>
      </w:pPr>
      <w:bookmarkStart w:id="37" w:name="confidentiality"/>
      <w:r>
        <w:t xml:space="preserve">Confidentiality</w:t>
      </w:r>
      <w:bookmarkEnd w:id="37"/>
    </w:p>
    <w:p>
      <w:pPr>
        <w:pStyle w:val="FirstParagraph"/>
      </w:pPr>
      <w:r>
        <w:t xml:space="preserve">Conversations with MHFAs or Directors about mental health are treated in confidence. They will only be shared further with the worker’s explicit consent — except where there is an immediate risk to the worker or to others, in which case the Directors will follow the AMWS duty-of-care pathway and signpost to emergency services.</w:t>
      </w:r>
    </w:p>
    <w:p>
      <w:pPr>
        <w:pStyle w:val="Heading2"/>
      </w:pPr>
      <w:bookmarkStart w:id="38" w:name="review"/>
      <w:r>
        <w:t xml:space="preserve">Review</w:t>
      </w:r>
      <w:bookmarkEnd w:id="38"/>
    </w:p>
    <w:p>
      <w:pPr>
        <w:pStyle w:val="FirstParagraph"/>
      </w:pPr>
      <w:r>
        <w:t xml:space="preserve">This policy is reviewed annually or sooner if:</w:t>
      </w:r>
    </w:p>
    <w:p>
      <w:pPr>
        <w:numPr>
          <w:ilvl w:val="0"/>
          <w:numId w:val="1004"/>
        </w:numPr>
        <w:pStyle w:val="ListParagraph"/>
      </w:pPr>
      <w:r>
        <w:t xml:space="preserve">A workplace incident raises a mental-health concern</w:t>
      </w:r>
    </w:p>
    <w:p>
      <w:pPr>
        <w:numPr>
          <w:ilvl w:val="0"/>
          <w:numId w:val="1004"/>
        </w:numPr>
        <w:pStyle w:val="ListParagraph"/>
      </w:pPr>
      <w:r>
        <w:t xml:space="preserve">The MHFA cover changes (new trainees, refresher cycles)</w:t>
      </w:r>
    </w:p>
    <w:p>
      <w:pPr>
        <w:numPr>
          <w:ilvl w:val="0"/>
          <w:numId w:val="1004"/>
        </w:numPr>
        <w:pStyle w:val="ListParagraph"/>
      </w:pPr>
      <w:r>
        <w:t xml:space="preserve">The EAP decision lands (Option A or Option B)</w:t>
      </w:r>
    </w:p>
    <w:p>
      <w:pPr>
        <w:numPr>
          <w:ilvl w:val="0"/>
          <w:numId w:val="1004"/>
        </w:numPr>
        <w:pStyle w:val="ListParagraph"/>
      </w:pPr>
      <w:r>
        <w:t xml:space="preserve">Government / HSE guidance changes materially</w:t>
      </w:r>
    </w:p>
    <w:p>
      <w:pPr>
        <w:pStyle w:val="FirstParagraph"/>
      </w:pPr>
      <w:r>
        <w:rPr>
          <w:i/>
        </w:rPr>
        <w:t xml:space="preserve">This document forms part of A M Water Services Limited’s Integrated Management System. Paper copies are uncontrolled when printed.</w:t>
      </w:r>
    </w:p>
    <w:p>
      <w:pPr>
        <w:pStyle w:val="Heading2"/>
      </w:pPr>
      <w:bookmarkStart w:id="39" w:name="audit-trail"/>
      <w:r>
        <w:t xml:space="preserve">Audit trail</w:t>
      </w:r>
      <w:bookmarkEnd w:id="39"/>
    </w:p>
    <w:tbl>
      <w:tblPr>
        <w:tblW w:type="dxa" w:w="9360"/>
        <w:tblLook w:firstRow="1"/>
        <w:tblBorders>
          <w:top w:val="single" w:sz="4" w:space="0" w:color="AAAAAA"/>
          <w:left w:val="single" w:sz="4" w:space="0" w:color="AAAAAA"/>
          <w:bottom w:val="single" w:sz="4" w:space="0" w:color="AAAAAA"/>
          <w:right w:val="single" w:sz="4" w:space="0" w:color="AAAAAA"/>
          <w:insideH w:val="single" w:sz="4" w:space="0" w:color="AAAAAA"/>
          <w:insideV w:val="single" w:sz="4" w:space="0" w:color="AAAAAA"/>
        </w:tblBorders>
      </w:tblPr>
      <w:tblGrid>
        <w:gridCol w:w="2340"/>
        <w:gridCol w:w="2340"/>
        <w:gridCol w:w="2340"/>
        <w:gridCol w:w="2340"/>
      </w:tblGrid>
      <w:tr>
        <w:trPr>
          <w:cnfStyle w:firstRow="1"/>
        </w:trPr>
        <w:tc>
          <w:tcPr>
            <w:tcBorders>
              <w:bottom w:val="single"/>
            </w:tcBorders>
            <w:vAlign w:val="bottom"/>
            <w:tcW w:type="dxa" w:w="2340"/>
          </w:tcPr>
          <w:p>
            <w:pPr>
              <w:jc w:val="left"/>
            </w:pPr>
            <w:r>
              <w:t xml:space="preserve">Date</w:t>
            </w:r>
          </w:p>
        </w:tc>
        <w:tc>
          <w:tcPr>
            <w:tcBorders>
              <w:bottom w:val="single"/>
            </w:tcBorders>
            <w:vAlign w:val="bottom"/>
            <w:tcW w:type="dxa" w:w="2340"/>
          </w:tcPr>
          <w:p>
            <w:pPr>
              <w:jc w:val="left"/>
            </w:pPr>
            <w:r>
              <w:t xml:space="preserve">Action</w:t>
            </w:r>
          </w:p>
        </w:tc>
        <w:tc>
          <w:tcPr>
            <w:tcBorders>
              <w:bottom w:val="single"/>
            </w:tcBorders>
            <w:vAlign w:val="bottom"/>
            <w:tcW w:type="dxa" w:w="2340"/>
          </w:tcPr>
          <w:p>
            <w:pPr>
              <w:jc w:val="left"/>
            </w:pPr>
            <w:r>
              <w:t xml:space="preserve">By</w:t>
            </w:r>
          </w:p>
        </w:tc>
        <w:tc>
          <w:tcPr>
            <w:tcBorders>
              <w:bottom w:val="single"/>
            </w:tcBorders>
            <w:vAlign w:val="bottom"/>
            <w:tcW w:type="dxa" w:w="2340"/>
          </w:tcPr>
          <w:p>
            <w:pPr>
              <w:jc w:val="left"/>
            </w:pPr>
            <w:r>
              <w:t xml:space="preserve">Details</w:t>
            </w:r>
          </w:p>
        </w:tc>
      </w:tr>
      <w:tr>
        <w:tc>
          <w:tcPr>
            <w:tcW w:type="dxa" w:w="2340"/>
          </w:tcPr>
          <w:p>
            <w:pPr>
              <w:jc w:val="left"/>
            </w:pPr>
            <w:r>
              <w:t xml:space="preserve">04/05/2026</w:t>
            </w:r>
          </w:p>
        </w:tc>
        <w:tc>
          <w:tcPr>
            <w:tcW w:type="dxa" w:w="2340"/>
          </w:tcPr>
          <w:p>
            <w:pPr>
              <w:jc w:val="left"/>
            </w:pPr>
            <w:r>
              <w:t xml:space="preserve">Issue 1 drafted</w:t>
            </w:r>
          </w:p>
        </w:tc>
        <w:tc>
          <w:tcPr>
            <w:tcW w:type="dxa" w:w="2340"/>
          </w:tcPr>
          <w:p>
            <w:pPr>
              <w:jc w:val="left"/>
            </w:pPr>
            <w:r>
              <w:t xml:space="preserve">Sean Ashton, HSQE Consultant</w:t>
            </w:r>
          </w:p>
        </w:tc>
        <w:tc>
          <w:tcPr>
            <w:tcW w:type="dxa" w:w="2340"/>
          </w:tcPr>
          <w:p>
            <w:pPr>
              <w:jc w:val="left"/>
            </w:pPr>
            <w:r>
              <w:t xml:space="preserve">New standalone Mental Health policy, complementing POL_HSQE_26 Welfare. Codifies in-house MHFA cover (Jason May, Leanne Mason), signposting routes including 116 123 Samaritans, and the EAP-decision pathway (gap-closure tracker #13).</w:t>
            </w:r>
          </w:p>
        </w:tc>
      </w:tr>
    </w:tbl>
    <w:p>
      <w:pPr>
        <w:pStyle w:val="Heading3"/>
      </w:pPr>
      <w:bookmarkStart w:id="40" w:name="how-this-document-is-approved"/>
      <w:r>
        <w:t xml:space="preserve">How this document is approved</w:t>
      </w:r>
      <w:bookmarkEnd w:id="40"/>
    </w:p>
    <w:p>
      <w:pPr>
        <w:pStyle w:val="FirstParagraph"/>
      </w:pPr>
      <w:r>
        <w:t xml:space="preserve">This document is maintained under AMWS’s continuous-compliance model. Substantive revisions are reviewed and signed off by the Directors at the</w:t>
      </w:r>
      <w:r>
        <w:t xml:space="preserve"> </w:t>
      </w:r>
      <w:r>
        <w:rPr>
          <w:b/>
        </w:rPr>
        <w:t xml:space="preserve">standing weekly Director / HSQE compliance call</w:t>
      </w:r>
      <w:r>
        <w:t xml:space="preserve"> </w:t>
      </w:r>
      <w:r>
        <w:t xml:space="preserve">(Sean Ashton, Onyx + Leanne Mason). Currency, cross-references and minor edits are checked at the</w:t>
      </w:r>
      <w:r>
        <w:t xml:space="preserve"> </w:t>
      </w:r>
      <w:r>
        <w:rPr>
          <w:b/>
        </w:rPr>
        <w:t xml:space="preserve">monthly Onyx site visit</w:t>
      </w:r>
      <w:r>
        <w:t xml:space="preserve">. The annual Management Review (September) provides the strategic-level confirmation. Compliance is therefore</w:t>
      </w:r>
      <w:r>
        <w:t xml:space="preserve"> </w:t>
      </w:r>
      <w:r>
        <w:rPr>
          <w:b/>
        </w:rPr>
        <w:t xml:space="preserve">continuous, not gated on a single annual meeting</w:t>
      </w:r>
      <w:r>
        <w:t xml:space="preserve">.</w:t>
      </w:r>
    </w:p>
    <w:sectPr w:rsidR="0020354C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57921668"/>
      <w:docPartObj>
        <w:docPartGallery w:val="Page Numbers (Bottom of Page)"/>
        <w:docPartUnique/>
      </w:docPartObj>
    </w:sdtPr>
    <w:sdtContent>
      <w:p w14:paraId="030D7DC0" w14:textId="77777777" w:rsidR="00894B29" w:rsidRDefault="00894B29" w:rsidP="00894B2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  <w:r>
          <w:rPr>
            <w:rStyle w:val="PageNumber"/>
          </w:rPr>
          <w:t xml:space="preserve"> of </w:t>
        </w: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NUMPAGES  \* MERGEFORMAT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46187E72" w14:textId="5F7D3F7F" w:rsidR="00894B29" w:rsidRDefault="00894B29" w:rsidP="00894B29">
    <w:pPr>
      <w:pStyle w:val="FirstParagraph"/>
      <w:ind w:right="360"/>
    </w:pPr>
    <w:r>
      <w:t>Document Reference: POL_HSQE_29 | Revision: 1 | Date: 4 May 2026</w:t>
    </w:r>
  </w:p>
  <w:p>
    <w:r>
      <w:t>Next Review: 4 May 2027 | Uncontrolled when printed</w:t>
    </w: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D7C3A" w14:textId="4A7B9B9C" w:rsidR="00894B29" w:rsidRDefault="00894B29">
    <w:pPr>
      <w:pStyle w:val="Header"/>
    </w:pPr>
    <w:r>
      <w:tab/>
    </w:r>
    <w:r>
      <w:rPr>
        <w:noProof/>
      </w:rPr>
      <w:drawing>
        <wp:inline distT="0" distB="0" distL="0" distR="0" wp14:anchorId="20C67E3E" wp14:editId="79E5C2DF">
          <wp:extent cx="1437740" cy="547200"/>
          <wp:effectExtent l="0" t="0" r="0" b="0"/>
          <wp:docPr id="1033883017" name="Picture 1" descr="A blue letter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3883017" name="Picture 1" descr="A blue letter with whit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7740" cy="54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A52D4"/>
    <w:multiLevelType w:val="hybridMultilevel"/>
    <w:tmpl w:val="AFC24DC0"/>
    <w:lvl w:ilvl="0" w:tplc="2F149D52">
      <w:start w:val="1"/>
      <w:numFmt w:val="bullet"/>
      <w:lvlText w:val="•"/>
      <w:lvlJc w:val="left"/>
      <w:pPr>
        <w:ind w:left="720" w:hanging="360"/>
      </w:pPr>
    </w:lvl>
    <w:lvl w:ilvl="1" w:tplc="D458EBE4">
      <w:numFmt w:val="decimal"/>
      <w:lvlText w:val=""/>
      <w:lvlJc w:val="left"/>
    </w:lvl>
    <w:lvl w:ilvl="2" w:tplc="520CEFE0">
      <w:numFmt w:val="decimal"/>
      <w:lvlText w:val=""/>
      <w:lvlJc w:val="left"/>
    </w:lvl>
    <w:lvl w:ilvl="3" w:tplc="F2C05458">
      <w:numFmt w:val="decimal"/>
      <w:lvlText w:val=""/>
      <w:lvlJc w:val="left"/>
    </w:lvl>
    <w:lvl w:ilvl="4" w:tplc="0EFC3862">
      <w:numFmt w:val="decimal"/>
      <w:lvlText w:val=""/>
      <w:lvlJc w:val="left"/>
    </w:lvl>
    <w:lvl w:ilvl="5" w:tplc="59FA62C0">
      <w:numFmt w:val="decimal"/>
      <w:lvlText w:val=""/>
      <w:lvlJc w:val="left"/>
    </w:lvl>
    <w:lvl w:ilvl="6" w:tplc="D3CCEA98">
      <w:numFmt w:val="decimal"/>
      <w:lvlText w:val=""/>
      <w:lvlJc w:val="left"/>
    </w:lvl>
    <w:lvl w:ilvl="7" w:tplc="45EE1856">
      <w:numFmt w:val="decimal"/>
      <w:lvlText w:val=""/>
      <w:lvlJc w:val="left"/>
    </w:lvl>
    <w:lvl w:ilvl="8" w:tplc="F37ED066">
      <w:numFmt w:val="decimal"/>
      <w:lvlText w:val=""/>
      <w:lvlJc w:val="left"/>
    </w:lvl>
  </w:abstractNum>
  <w:abstractNum w:abstractNumId="1" w15:restartNumberingAfterBreak="0">
    <w:nsid w:val="201F09AB"/>
    <w:multiLevelType w:val="hybridMultilevel"/>
    <w:tmpl w:val="0B6214D0"/>
    <w:lvl w:ilvl="0" w:tplc="B4F214DC">
      <w:start w:val="1"/>
      <w:numFmt w:val="bullet"/>
      <w:lvlText w:val="●"/>
      <w:lvlJc w:val="left"/>
      <w:pPr>
        <w:ind w:left="720" w:hanging="360"/>
      </w:pPr>
    </w:lvl>
    <w:lvl w:ilvl="1" w:tplc="9EB04872">
      <w:start w:val="1"/>
      <w:numFmt w:val="bullet"/>
      <w:lvlText w:val="○"/>
      <w:lvlJc w:val="left"/>
      <w:pPr>
        <w:ind w:left="1440" w:hanging="360"/>
      </w:pPr>
    </w:lvl>
    <w:lvl w:ilvl="2" w:tplc="9092CEB4">
      <w:start w:val="1"/>
      <w:numFmt w:val="bullet"/>
      <w:lvlText w:val="■"/>
      <w:lvlJc w:val="left"/>
      <w:pPr>
        <w:ind w:left="2160" w:hanging="360"/>
      </w:pPr>
    </w:lvl>
    <w:lvl w:ilvl="3" w:tplc="568C8B62">
      <w:start w:val="1"/>
      <w:numFmt w:val="bullet"/>
      <w:lvlText w:val="●"/>
      <w:lvlJc w:val="left"/>
      <w:pPr>
        <w:ind w:left="2880" w:hanging="360"/>
      </w:pPr>
    </w:lvl>
    <w:lvl w:ilvl="4" w:tplc="C648577E">
      <w:start w:val="1"/>
      <w:numFmt w:val="bullet"/>
      <w:lvlText w:val="○"/>
      <w:lvlJc w:val="left"/>
      <w:pPr>
        <w:ind w:left="3600" w:hanging="360"/>
      </w:pPr>
    </w:lvl>
    <w:lvl w:ilvl="5" w:tplc="F15053F0">
      <w:start w:val="1"/>
      <w:numFmt w:val="bullet"/>
      <w:lvlText w:val="■"/>
      <w:lvlJc w:val="left"/>
      <w:pPr>
        <w:ind w:left="4320" w:hanging="360"/>
      </w:pPr>
    </w:lvl>
    <w:lvl w:ilvl="6" w:tplc="AB487212">
      <w:start w:val="1"/>
      <w:numFmt w:val="bullet"/>
      <w:lvlText w:val="●"/>
      <w:lvlJc w:val="left"/>
      <w:pPr>
        <w:ind w:left="5040" w:hanging="360"/>
      </w:pPr>
    </w:lvl>
    <w:lvl w:ilvl="7" w:tplc="7C3A19AE">
      <w:start w:val="1"/>
      <w:numFmt w:val="bullet"/>
      <w:lvlText w:val="●"/>
      <w:lvlJc w:val="left"/>
      <w:pPr>
        <w:ind w:left="5760" w:hanging="360"/>
      </w:pPr>
    </w:lvl>
    <w:lvl w:ilvl="8" w:tplc="99A6F5FA">
      <w:start w:val="1"/>
      <w:numFmt w:val="bullet"/>
      <w:lvlText w:val="●"/>
      <w:lvlJc w:val="left"/>
      <w:pPr>
        <w:ind w:left="6480" w:hanging="360"/>
      </w:pPr>
    </w:lvl>
  </w:abstractNum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1">
    <w:nsid w:val="ea454b4c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num w:numId="1" w16cid:durableId="1314681287">
    <w:abstractNumId w:val="1"/>
    <w:lvlOverride w:ilvl="0">
      <w:startOverride w:val="1"/>
    </w:lvlOverride>
  </w:num>
  <w:num w:numId="2" w16cid:durableId="1443722494">
    <w:abstractNumId w:val="0"/>
    <w:lvlOverride w:ilvl="0">
      <w:startOverride w:val="1"/>
    </w:lvlOverride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240" w:after="120"/>
      <w:outlineLvl w:val="0"/>
    </w:pPr>
    <w:rPr>
      <w:b/>
      <w:bCs/>
      <w:color w:val="2E74B5"/>
      <w:sz w:val="36"/>
      <w:szCs w:val="36"/>
    </w:rPr>
  </w:style>
  <w:style w:type="paragraph" w:styleId="Heading2">
    <w:name w:val="heading 2"/>
    <w:uiPriority w:val="9"/>
    <w:unhideWhenUsed/>
    <w:qFormat/>
    <w:pPr>
      <w:spacing w:before="200" w:after="80"/>
      <w:outlineLvl w:val="1"/>
    </w:pPr>
    <w:rPr>
      <w:b/>
      <w:bCs/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nhideWhenUsed/>
    <w:rsid w:val="00894B2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894B29"/>
  </w:style>
  <w:style w:type="paragraph" w:styleId="Footer">
    <w:name w:val="footer"/>
    <w:basedOn w:val="Normal"/>
    <w:link w:val="FooterChar"/>
    <w:unhideWhenUsed/>
    <w:rsid w:val="00894B2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894B29"/>
  </w:style>
  <w:style w:type="paragraph" w:customStyle="1" w:styleId="FirstParagraph">
    <w:name w:val="First Paragraph"/>
    <w:basedOn w:val="BodyText"/>
    <w:next w:val="BodyText"/>
    <w:qFormat/>
    <w:rsid w:val="00894B29"/>
    <w:pPr>
      <w:spacing w:before="180" w:after="180"/>
    </w:pPr>
    <w:rPr>
      <w:rFonts w:asciiTheme="minorHAnsi" w:eastAsiaTheme="minorHAnsi" w:hAnsiTheme="minorHAnsi" w:cstheme="minorBidi"/>
      <w:sz w:val="24"/>
      <w:szCs w:val="24"/>
      <w:lang w:val="en-US" w:eastAsia="en-US"/>
    </w:rPr>
  </w:style>
  <w:style w:type="character" w:styleId="PageNumber">
    <w:name w:val="page number"/>
    <w:basedOn w:val="DefaultParagraphFont"/>
    <w:rsid w:val="00894B29"/>
  </w:style>
  <w:style w:type="paragraph" w:styleId="BodyText">
    <w:name w:val="Body Text"/>
    <w:basedOn w:val="Normal"/>
    <w:link w:val="BodyTextChar"/>
    <w:uiPriority w:val="99"/>
    <w:semiHidden/>
    <w:unhideWhenUsed/>
    <w:rsid w:val="00894B2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94B29"/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openxmlformats.org/officeDocument/2006/relationships/footnotes" Target="footnotes.xml"/><Relationship Id="rId8" Type="http://schemas.openxmlformats.org/officeDocument/2006/relationships/comments" Target="comments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35" Type="http://schemas.openxmlformats.org/officeDocument/2006/relationships/hyperlink" Target="../risk-assessments/home-office/ra-ho-08-stress-wellbeing.md" TargetMode="External"/><Relationship Id="rId36" Type="http://schemas.openxmlformats.org/officeDocument/2006/relationships/hyperlink" Target="../risk-assessments/home-office/ra-ho-18-fatigue.md" TargetMode="External"/><Relationship Id="rId31" Type="http://schemas.openxmlformats.org/officeDocument/2006/relationships/hyperlink" Target="pol-02-alcohol-drugs.md" TargetMode="External"/><Relationship Id="rId33" Type="http://schemas.openxmlformats.org/officeDocument/2006/relationships/hyperlink" Target="pol-05-anti-bullying.md" TargetMode="External"/><Relationship Id="rId32" Type="http://schemas.openxmlformats.org/officeDocument/2006/relationships/hyperlink" Target="pol-15-grievance.md" TargetMode="External"/><Relationship Id="rId30" Type="http://schemas.openxmlformats.org/officeDocument/2006/relationships/hyperlink" Target="pol-26-welfare.md" TargetMode="External"/><Relationship Id="rId34" Type="http://schemas.openxmlformats.org/officeDocument/2006/relationships/hyperlink" Target="pol-27-whistleblowing.md" TargetMode="External"/></Relationships>
</file>

<file path=word/_rels/footnotes.xml.rels><?xml version='1.0' encoding='UTF-8' standalone='yes'?>
<Relationships xmlns="http://schemas.openxmlformats.org/package/2006/relationships"><Relationship Id="rId35" Type="http://schemas.openxmlformats.org/officeDocument/2006/relationships/hyperlink" Target="../risk-assessments/home-office/ra-ho-08-stress-wellbeing.md" TargetMode="External"/><Relationship Id="rId36" Type="http://schemas.openxmlformats.org/officeDocument/2006/relationships/hyperlink" Target="../risk-assessments/home-office/ra-ho-18-fatigue.md" TargetMode="External"/><Relationship Id="rId31" Type="http://schemas.openxmlformats.org/officeDocument/2006/relationships/hyperlink" Target="pol-02-alcohol-drugs.md" TargetMode="External"/><Relationship Id="rId33" Type="http://schemas.openxmlformats.org/officeDocument/2006/relationships/hyperlink" Target="pol-05-anti-bullying.md" TargetMode="External"/><Relationship Id="rId32" Type="http://schemas.openxmlformats.org/officeDocument/2006/relationships/hyperlink" Target="pol-15-grievance.md" TargetMode="External"/><Relationship Id="rId30" Type="http://schemas.openxmlformats.org/officeDocument/2006/relationships/hyperlink" Target="pol-26-welfare.md" TargetMode="External"/><Relationship Id="rId34" Type="http://schemas.openxmlformats.org/officeDocument/2006/relationships/hyperlink" Target="pol-27-whistleblowing.md" TargetMode="Externa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442</Words>
  <Characters>2522</Characters>
  <Application>Microsoft Office Word</Application>
  <DocSecurity>0</DocSecurity>
  <Lines>21</Lines>
  <Paragraphs>5</Paragraphs>
  <ScaleCrop>false</ScaleCrop>
  <Company/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2026-06-01T12:43:56Z</dcterms:created>
  <dcterms:modified xsi:type="dcterms:W3CDTF">2026-06-01T12:43:56Z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